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C" w:rsidRPr="00ED7F80" w:rsidRDefault="002256DC" w:rsidP="00B1551D">
      <w:pPr>
        <w:pStyle w:val="a4"/>
        <w:spacing w:before="0" w:beforeAutospacing="0" w:after="0" w:afterAutospacing="0"/>
        <w:jc w:val="center"/>
        <w:rPr>
          <w:rFonts w:ascii="Verdana" w:hAnsi="Verdana"/>
          <w:sz w:val="12"/>
          <w:szCs w:val="12"/>
        </w:rPr>
      </w:pPr>
    </w:p>
    <w:tbl>
      <w:tblPr>
        <w:tblW w:w="9586" w:type="dxa"/>
        <w:tblInd w:w="-746" w:type="dxa"/>
        <w:tblBorders>
          <w:top w:val="single" w:sz="6" w:space="0" w:color="4C4A4A"/>
          <w:left w:val="single" w:sz="6" w:space="0" w:color="4C4A4A"/>
          <w:bottom w:val="single" w:sz="6" w:space="0" w:color="4C4A4A"/>
          <w:right w:val="single" w:sz="6" w:space="0" w:color="4C4A4A"/>
          <w:insideH w:val="single" w:sz="6" w:space="0" w:color="4C4A4A"/>
          <w:insideV w:val="single" w:sz="6" w:space="0" w:color="4C4A4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188"/>
        <w:gridCol w:w="2714"/>
        <w:gridCol w:w="2322"/>
        <w:gridCol w:w="738"/>
        <w:gridCol w:w="1334"/>
        <w:gridCol w:w="1222"/>
      </w:tblGrid>
      <w:tr w:rsidR="0080328F" w:rsidRPr="00ED7F80" w:rsidTr="00CE5D91">
        <w:trPr>
          <w:trHeight w:val="209"/>
        </w:trPr>
        <w:tc>
          <w:tcPr>
            <w:tcW w:w="9586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DD6555" w:rsidRDefault="0080328F" w:rsidP="00DD6555">
            <w:pPr>
              <w:pStyle w:val="a4"/>
              <w:spacing w:before="120" w:beforeAutospacing="0" w:after="0" w:afterAutospacing="0"/>
              <w:contextualSpacing/>
              <w:jc w:val="center"/>
              <w:rPr>
                <w:rStyle w:val="a5"/>
                <w:rFonts w:ascii="Verdana" w:hAnsi="Verdana"/>
                <w:sz w:val="14"/>
                <w:szCs w:val="14"/>
              </w:rPr>
            </w:pPr>
            <w:r w:rsidRPr="00ED7F80">
              <w:rPr>
                <w:rFonts w:ascii="Verdana" w:hAnsi="Verdana"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-635</wp:posOffset>
                  </wp:positionV>
                  <wp:extent cx="238760" cy="225425"/>
                  <wp:effectExtent l="0" t="0" r="0" b="0"/>
                  <wp:wrapTight wrapText="bothSides">
                    <wp:wrapPolygon edited="0">
                      <wp:start x="0" y="0"/>
                      <wp:lineTo x="0" y="20079"/>
                      <wp:lineTo x="20681" y="20079"/>
                      <wp:lineTo x="20681" y="0"/>
                      <wp:lineTo x="0" y="0"/>
                    </wp:wrapPolygon>
                  </wp:wrapTight>
                  <wp:docPr id="1" name="Рисунок 1" descr="Реалконсалтинг — оценка имущ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алконсалтинг — оценка имуще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1312"/>
                          <a:stretch/>
                        </pic:blipFill>
                        <pic:spPr bwMode="auto">
                          <a:xfrm>
                            <a:off x="0" y="0"/>
                            <a:ext cx="2387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81C33">
              <w:rPr>
                <w:rStyle w:val="a5"/>
                <w:rFonts w:ascii="Verdana" w:hAnsi="Verdana"/>
                <w:sz w:val="14"/>
                <w:szCs w:val="14"/>
              </w:rPr>
              <w:t>О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>ткрытый аукцион  №</w:t>
            </w:r>
            <w:r w:rsidR="00551A80">
              <w:rPr>
                <w:rStyle w:val="a5"/>
                <w:rFonts w:ascii="Verdana" w:hAnsi="Verdana"/>
                <w:sz w:val="14"/>
                <w:szCs w:val="14"/>
              </w:rPr>
              <w:t>70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>/</w:t>
            </w:r>
            <w:r w:rsidR="00636AA6" w:rsidRPr="00ED7F80">
              <w:rPr>
                <w:rStyle w:val="a5"/>
                <w:rFonts w:ascii="Verdana" w:hAnsi="Verdana"/>
                <w:sz w:val="14"/>
                <w:szCs w:val="14"/>
              </w:rPr>
              <w:t>1</w:t>
            </w:r>
            <w:r w:rsidR="00636AA6">
              <w:rPr>
                <w:rStyle w:val="a5"/>
                <w:rFonts w:ascii="Verdana" w:hAnsi="Verdana"/>
                <w:sz w:val="14"/>
                <w:szCs w:val="14"/>
              </w:rPr>
              <w:t xml:space="preserve">9 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 xml:space="preserve">по продаже </w:t>
            </w:r>
            <w:r w:rsidR="00551A80">
              <w:rPr>
                <w:rStyle w:val="a5"/>
                <w:rFonts w:ascii="Verdana" w:hAnsi="Verdana"/>
                <w:sz w:val="14"/>
                <w:szCs w:val="14"/>
              </w:rPr>
              <w:t>капитального строения</w:t>
            </w:r>
            <w:r w:rsidR="009C7DA2">
              <w:rPr>
                <w:rStyle w:val="a5"/>
                <w:rFonts w:ascii="Verdana" w:hAnsi="Verdana"/>
                <w:sz w:val="14"/>
                <w:szCs w:val="14"/>
              </w:rPr>
              <w:t xml:space="preserve">по адресу: </w:t>
            </w:r>
          </w:p>
          <w:p w:rsidR="0080328F" w:rsidRPr="00ED7F80" w:rsidRDefault="00551A80">
            <w:pPr>
              <w:pStyle w:val="a4"/>
              <w:spacing w:before="120" w:beforeAutospacing="0" w:after="0" w:afterAutospacing="0"/>
              <w:contextualSpacing/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  <w:r w:rsidRPr="00551A80">
              <w:rPr>
                <w:rStyle w:val="a5"/>
                <w:rFonts w:ascii="Verdana" w:hAnsi="Verdana"/>
                <w:sz w:val="14"/>
                <w:szCs w:val="14"/>
              </w:rPr>
              <w:t xml:space="preserve">г. Сморгонь, </w:t>
            </w:r>
            <w:proofErr w:type="spellStart"/>
            <w:r w:rsidRPr="00551A80">
              <w:rPr>
                <w:rStyle w:val="a5"/>
                <w:rFonts w:ascii="Verdana" w:hAnsi="Verdana"/>
                <w:sz w:val="14"/>
                <w:szCs w:val="14"/>
              </w:rPr>
              <w:t>пр-д</w:t>
            </w:r>
            <w:proofErr w:type="spellEnd"/>
            <w:r w:rsidRPr="00551A80">
              <w:rPr>
                <w:rStyle w:val="a5"/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551A80">
              <w:rPr>
                <w:rStyle w:val="a5"/>
                <w:rFonts w:ascii="Verdana" w:hAnsi="Verdana"/>
                <w:sz w:val="14"/>
                <w:szCs w:val="14"/>
              </w:rPr>
              <w:t>Тарный</w:t>
            </w:r>
            <w:proofErr w:type="gramEnd"/>
            <w:r w:rsidRPr="00551A80">
              <w:rPr>
                <w:rStyle w:val="a5"/>
                <w:rFonts w:ascii="Verdana" w:hAnsi="Verdana"/>
                <w:sz w:val="14"/>
                <w:szCs w:val="14"/>
              </w:rPr>
              <w:t>, 8</w:t>
            </w:r>
          </w:p>
        </w:tc>
      </w:tr>
      <w:tr w:rsidR="0080328F" w:rsidRPr="00ED7F80" w:rsidTr="00CE5D91">
        <w:trPr>
          <w:trHeight w:val="116"/>
        </w:trPr>
        <w:tc>
          <w:tcPr>
            <w:tcW w:w="1256" w:type="dxa"/>
            <w:gridSpan w:val="2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Организатор аукциона</w:t>
            </w:r>
          </w:p>
        </w:tc>
        <w:tc>
          <w:tcPr>
            <w:tcW w:w="83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0328F" w:rsidRPr="00ED7F80" w:rsidRDefault="0080328F" w:rsidP="00D61632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ООО «Реалконсалтинг», адрес: </w:t>
            </w:r>
            <w:r w:rsidR="00D61632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ул. Пономаренко 35А</w:t>
            </w:r>
            <w:r w:rsidRPr="00ED7F80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, </w:t>
            </w:r>
            <w:r w:rsidR="00D61632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пом. 701, </w:t>
            </w:r>
            <w:proofErr w:type="spellStart"/>
            <w:r w:rsidR="00D61632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каб</w:t>
            </w:r>
            <w:proofErr w:type="spellEnd"/>
            <w:r w:rsidR="00D61632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. 8</w:t>
            </w:r>
            <w:r w:rsidR="00DF1E05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.</w:t>
            </w:r>
            <w:r w:rsidRPr="00ED7F80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br/>
              <w:t>г. Минск, 220015, Республика Беларусь, телефон/факс: + 375 (17) 256-61-35</w:t>
            </w:r>
          </w:p>
        </w:tc>
      </w:tr>
      <w:tr w:rsidR="0080328F" w:rsidRPr="00ED7F80" w:rsidTr="00CE5D91">
        <w:trPr>
          <w:trHeight w:val="20"/>
        </w:trPr>
        <w:tc>
          <w:tcPr>
            <w:tcW w:w="9586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Аукцион </w:t>
            </w:r>
            <w:r w:rsidRPr="00791C67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состоится </w:t>
            </w:r>
            <w:r w:rsidR="00551A80">
              <w:rPr>
                <w:rFonts w:ascii="Verdana" w:eastAsia="Times New Roman" w:hAnsi="Verdana" w:cs="Arial"/>
                <w:b/>
                <w:bCs/>
                <w:sz w:val="12"/>
                <w:szCs w:val="12"/>
                <w:lang w:val="uk-UA" w:eastAsia="ru-RU"/>
              </w:rPr>
              <w:t>14</w:t>
            </w:r>
            <w:r w:rsidRPr="0088322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  <w:r w:rsidR="00883224" w:rsidRPr="00F02C5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01</w:t>
            </w:r>
            <w:r w:rsidRPr="0088322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  <w:r w:rsidR="00720110" w:rsidRPr="0088322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20</w:t>
            </w:r>
            <w:r w:rsidR="0072011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20</w:t>
            </w:r>
            <w:r w:rsidRPr="000269BF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в 11</w:t>
            </w: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.00, по адресу: г. Минск, ул. </w:t>
            </w:r>
            <w:r w:rsidRPr="00ED7F80">
              <w:rPr>
                <w:rFonts w:ascii="Verdana" w:eastAsia="Times New Roman" w:hAnsi="Verdana" w:cs="Tahoma"/>
                <w:b/>
                <w:sz w:val="12"/>
                <w:szCs w:val="12"/>
                <w:lang w:eastAsia="ru-RU"/>
              </w:rPr>
              <w:t xml:space="preserve">Пономаренко 35А, </w:t>
            </w:r>
            <w:r w:rsidR="00D61632">
              <w:rPr>
                <w:rFonts w:ascii="Verdana" w:eastAsia="Times New Roman" w:hAnsi="Verdana" w:cs="Tahoma"/>
                <w:b/>
                <w:sz w:val="12"/>
                <w:szCs w:val="12"/>
                <w:lang w:eastAsia="ru-RU"/>
              </w:rPr>
              <w:t>пом. 701.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Продавец – </w:t>
            </w:r>
            <w:r w:rsidR="00551A80" w:rsidRPr="00D81B9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</w:t>
            </w:r>
            <w:r w:rsidR="00551A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</w:t>
            </w:r>
            <w:r w:rsidR="00551A80" w:rsidRPr="00D81B9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 </w:t>
            </w:r>
            <w:r w:rsidR="00D81B91" w:rsidRPr="00D81B9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«</w:t>
            </w:r>
            <w:r w:rsidR="00551A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Рубин</w:t>
            </w:r>
            <w:r w:rsidR="00D81B91" w:rsidRPr="00D81B9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</w:t>
            </w:r>
            <w:r w:rsidR="00D81B91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</w:tr>
      <w:tr w:rsidR="0080328F" w:rsidRPr="00ED7F80" w:rsidTr="00CE5D91">
        <w:trPr>
          <w:trHeight w:val="73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№ лота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80328F" w:rsidRPr="00ED7F80" w:rsidRDefault="0080328F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Предмет аукциона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0328F" w:rsidRPr="00ED7F80" w:rsidRDefault="0080328F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Местонахождение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328F" w:rsidRPr="00ED7F80" w:rsidRDefault="0080328F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Площадь, кв.м.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328F" w:rsidRPr="00DA10AB" w:rsidRDefault="00551A80" w:rsidP="00516CE3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551A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Начальная цена продажи лота, руб. с НДС</w:t>
            </w:r>
          </w:p>
        </w:tc>
        <w:tc>
          <w:tcPr>
            <w:tcW w:w="1222" w:type="dxa"/>
          </w:tcPr>
          <w:p w:rsidR="0080328F" w:rsidRPr="00BE4C32" w:rsidRDefault="0080328F" w:rsidP="0080328F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Сумма задатка</w:t>
            </w:r>
          </w:p>
          <w:p w:rsidR="00F074EB" w:rsidRPr="00BE4C32" w:rsidRDefault="0080328F" w:rsidP="00F074E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по лоту, </w:t>
            </w:r>
          </w:p>
          <w:p w:rsidR="0080328F" w:rsidRPr="00DA10AB" w:rsidRDefault="00F074EB" w:rsidP="00F074E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руб.</w:t>
            </w:r>
          </w:p>
        </w:tc>
      </w:tr>
      <w:tr w:rsidR="00D61632" w:rsidRPr="00ED7F80" w:rsidTr="00CE5D91">
        <w:trPr>
          <w:trHeight w:val="73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D61632" w:rsidRPr="000451D0" w:rsidRDefault="00D61632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0451D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EC02DF" w:rsidRPr="00767882" w:rsidRDefault="00551A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highlight w:val="yellow"/>
                <w:lang w:eastAsia="ru-RU"/>
              </w:rPr>
            </w:pPr>
            <w:r w:rsidRPr="00CD33C8">
              <w:rPr>
                <w:rFonts w:ascii="Verdana" w:eastAsia="Times New Roman" w:hAnsi="Verdana" w:cs="Arial"/>
                <w:bCs/>
                <w:sz w:val="12"/>
                <w:szCs w:val="12"/>
                <w:highlight w:val="yellow"/>
                <w:lang w:eastAsia="ru-RU"/>
              </w:rPr>
              <w:t>Капитальное строение площадью</w:t>
            </w:r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88,5 кв.м. с и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нвентарным номером 443/С-21705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61632" w:rsidRPr="00576501" w:rsidRDefault="00551A80" w:rsidP="00D81B9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Гродненская область, </w:t>
            </w:r>
            <w:proofErr w:type="spellStart"/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Сморгонский</w:t>
            </w:r>
            <w:proofErr w:type="spellEnd"/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р-н, г. Сморгонь, </w:t>
            </w:r>
            <w:proofErr w:type="spellStart"/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пр-д</w:t>
            </w:r>
            <w:proofErr w:type="spellEnd"/>
            <w:r w:rsidRPr="00551A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Тарный, 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1632" w:rsidRPr="000451D0" w:rsidRDefault="00551A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88</w:t>
            </w:r>
            <w:r w:rsidR="000C2599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61632" w:rsidRPr="00576501" w:rsidRDefault="00551A80" w:rsidP="001D3C0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8 400</w:t>
            </w:r>
          </w:p>
        </w:tc>
        <w:tc>
          <w:tcPr>
            <w:tcW w:w="1222" w:type="dxa"/>
            <w:vAlign w:val="center"/>
          </w:tcPr>
          <w:p w:rsidR="00D61632" w:rsidRPr="00576501" w:rsidRDefault="00EC02DF" w:rsidP="00A6318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8</w:t>
            </w:r>
            <w:r w:rsidR="00C31F3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0</w:t>
            </w:r>
            <w:r w:rsidR="00C31F35" w:rsidRPr="00C418B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0</w:t>
            </w:r>
            <w:r w:rsidR="0047659F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руб.</w:t>
            </w:r>
          </w:p>
        </w:tc>
      </w:tr>
      <w:tr w:rsidR="0080328F" w:rsidRPr="00ED7F80" w:rsidTr="00CE5D91">
        <w:trPr>
          <w:trHeight w:val="394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A82A1B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Порядок проведения и выбора победителя</w:t>
            </w:r>
          </w:p>
        </w:tc>
        <w:tc>
          <w:tcPr>
            <w:tcW w:w="8518" w:type="dxa"/>
            <w:gridSpan w:val="6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Открытый аукцион на повышение начальной цены проводится с шагом аукциона в размере </w:t>
            </w:r>
            <w:r w:rsidRPr="00ED7F80">
              <w:rPr>
                <w:rFonts w:ascii="Verdana" w:eastAsia="Times New Roman" w:hAnsi="Verdana" w:cs="Tahoma"/>
                <w:b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5 процентов </w:t>
            </w: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от начальной стоимости предмета аукциона. Победителем объявляется участник аукциона, предложивший наиболее высокую цену. В </w:t>
            </w:r>
            <w:proofErr w:type="gramStart"/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случае</w:t>
            </w:r>
            <w:proofErr w:type="gramEnd"/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 когда в аукционе примет участие один участник либо на аукцион явится один участник (далее единственный участник), предмет аукциона продается этому участнику по начальной цене, увеличенной на 5 процентов, с его согласия.</w:t>
            </w:r>
          </w:p>
        </w:tc>
      </w:tr>
      <w:tr w:rsidR="0080328F" w:rsidRPr="00ED7F80" w:rsidTr="00CE5D91">
        <w:trPr>
          <w:trHeight w:val="27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Прием заявлений</w:t>
            </w:r>
          </w:p>
        </w:tc>
        <w:tc>
          <w:tcPr>
            <w:tcW w:w="8518" w:type="dxa"/>
            <w:gridSpan w:val="6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80328F" w:rsidRPr="00ED7F80" w:rsidRDefault="0080328F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Заявления на участие в аукционе принимаются в </w:t>
            </w:r>
            <w:r w:rsidRPr="009C592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рабочие </w:t>
            </w:r>
            <w:r w:rsidRPr="007A69D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дни с 9.00 до 18.00, по адресу: г. Минск, ул. Пономаренко, 35А, </w:t>
            </w:r>
            <w:r w:rsidR="00DF1E05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пом. 701, </w:t>
            </w:r>
            <w:proofErr w:type="spellStart"/>
            <w:r w:rsidR="00DF1E05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каб</w:t>
            </w:r>
            <w:proofErr w:type="spellEnd"/>
            <w:r w:rsidR="00DF1E05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. 8.</w:t>
            </w:r>
            <w:r w:rsidRPr="00576501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Последний день приема </w:t>
            </w:r>
            <w:r w:rsidRPr="004535FC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заявлений</w:t>
            </w:r>
            <w:r w:rsidR="00EC0A90" w:rsidRPr="00791C67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: </w:t>
            </w:r>
            <w:r w:rsidR="00551A8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1</w:t>
            </w:r>
            <w:r w:rsidR="00551A80" w:rsidRPr="00F02C55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0</w:t>
            </w:r>
            <w:r w:rsidR="00EC0A90" w:rsidRPr="0088322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.</w:t>
            </w:r>
            <w:r w:rsidR="00883224" w:rsidRPr="0088322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0</w:t>
            </w:r>
            <w:r w:rsidR="00883224" w:rsidRPr="00F02C55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1</w:t>
            </w:r>
            <w:r w:rsidR="00EC0A90" w:rsidRPr="0088322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.</w:t>
            </w:r>
            <w:r w:rsidR="00720110" w:rsidRPr="0088322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20</w:t>
            </w:r>
            <w:r w:rsidR="0072011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20</w:t>
            </w:r>
            <w:r w:rsidR="007D6B97" w:rsidRPr="000E01E8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до</w:t>
            </w:r>
            <w:r w:rsidR="007D6B97" w:rsidRPr="000269BF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17:00</w:t>
            </w:r>
            <w:r w:rsidRPr="000269BF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80328F" w:rsidRPr="00ED7F80" w:rsidTr="00CE5D91">
        <w:trPr>
          <w:trHeight w:val="794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  <w:hideMark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Задаток</w:t>
            </w:r>
          </w:p>
        </w:tc>
        <w:tc>
          <w:tcPr>
            <w:tcW w:w="8518" w:type="dxa"/>
            <w:gridSpan w:val="6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DF1E05" w:rsidRPr="00915401" w:rsidRDefault="00A82A1B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A82A1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Для участия в аукционе необходимо внести задаток (задатки) в вышеуказанном размере (в случае участия в торгах в отношении нескольких лотов - задаток вносится для каждого из предметов аукциона).</w:t>
            </w:r>
            <w:r w:rsidR="00DF1E05" w:rsidRPr="00915401">
              <w:rPr>
                <w:rFonts w:ascii="Verdana" w:hAnsi="Verdana"/>
                <w:sz w:val="12"/>
                <w:szCs w:val="12"/>
              </w:rPr>
              <w:t xml:space="preserve">Банковские реквизиты: </w:t>
            </w:r>
          </w:p>
          <w:p w:rsidR="00DF1E05" w:rsidRPr="00915401" w:rsidRDefault="00DF1E05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915401">
              <w:rPr>
                <w:rFonts w:ascii="Verdana" w:hAnsi="Verdana"/>
                <w:sz w:val="12"/>
                <w:szCs w:val="12"/>
              </w:rPr>
              <w:t>- для резидентов РБ задаток перечисляется в белорусских рублях Организатору аукциона на расчетный счет BY70SLAN30124358100130000000 в ЗАО Банк ВТБ (Беларусь), г. Минск, ул. Московская, 14, БИК SLANBY22;</w:t>
            </w:r>
          </w:p>
          <w:p w:rsidR="00DF1E05" w:rsidRPr="00915401" w:rsidRDefault="00DF1E05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915401">
              <w:rPr>
                <w:rFonts w:ascii="Verdana" w:hAnsi="Verdana"/>
                <w:sz w:val="12"/>
                <w:szCs w:val="12"/>
              </w:rPr>
              <w:t>- для нерезидентов РБ задаток перечисляется в валютном эквиваленте по курсу НБ РБ на дату платежа на следующие счета: в долларах США (USD) - расчетный счет BY</w:t>
            </w:r>
            <w:r>
              <w:rPr>
                <w:rFonts w:ascii="Verdana" w:hAnsi="Verdana"/>
                <w:sz w:val="12"/>
                <w:szCs w:val="12"/>
              </w:rPr>
              <w:t>28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SLAN</w:t>
            </w:r>
            <w:r w:rsidRPr="009A144D">
              <w:rPr>
                <w:rFonts w:ascii="Verdana" w:hAnsi="Verdana"/>
                <w:sz w:val="12"/>
                <w:szCs w:val="12"/>
              </w:rPr>
              <w:t>30124358150210000000</w:t>
            </w:r>
            <w:r w:rsidRPr="00915401">
              <w:rPr>
                <w:rFonts w:ascii="Verdana" w:hAnsi="Verdana"/>
                <w:sz w:val="12"/>
                <w:szCs w:val="12"/>
              </w:rPr>
              <w:t xml:space="preserve">  в ЗАО Банк ВТБ (Беларусь), г. Минск, ул. Московская, 14, БИК SLANBY22. Получатель платежа: ООО «Реалконсалтинг», УНП 191302068.</w:t>
            </w:r>
          </w:p>
          <w:p w:rsidR="0080328F" w:rsidRPr="003B0F02" w:rsidRDefault="0080328F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sz w:val="12"/>
                <w:szCs w:val="12"/>
                <w:highlight w:val="yellow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Назначение платежа: «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Задаток согласно Извещению о проведен</w:t>
            </w:r>
            <w:proofErr w:type="gramStart"/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ии ау</w:t>
            </w:r>
            <w:proofErr w:type="gramEnd"/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кциона №</w:t>
            </w:r>
            <w:r w:rsidR="00551A80"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/</w:t>
            </w:r>
            <w:r w:rsidR="004535FC" w:rsidRPr="00ED7F80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  <w:r w:rsidR="004535FC"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  <w:r w:rsidR="00D15072" w:rsidRPr="00ED7F80">
              <w:rPr>
                <w:rFonts w:ascii="Verdana" w:hAnsi="Verdana"/>
                <w:color w:val="000000"/>
                <w:sz w:val="12"/>
                <w:szCs w:val="12"/>
              </w:rPr>
              <w:t>».</w:t>
            </w:r>
          </w:p>
        </w:tc>
        <w:bookmarkStart w:id="0" w:name="_GoBack"/>
        <w:bookmarkEnd w:id="0"/>
      </w:tr>
      <w:tr w:rsidR="0080328F" w:rsidRPr="00ED7F80" w:rsidTr="00CE5D91">
        <w:trPr>
          <w:trHeight w:val="380"/>
        </w:trPr>
        <w:tc>
          <w:tcPr>
            <w:tcW w:w="1068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Затраты</w:t>
            </w:r>
          </w:p>
        </w:tc>
        <w:tc>
          <w:tcPr>
            <w:tcW w:w="8518" w:type="dxa"/>
            <w:gridSpan w:val="6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80328F" w:rsidRPr="00ED7F80" w:rsidRDefault="0080328F">
            <w:pPr>
              <w:spacing w:before="120" w:after="0" w:line="240" w:lineRule="auto"/>
              <w:contextualSpacing/>
              <w:textAlignment w:val="top"/>
              <w:rPr>
                <w:rFonts w:ascii="Verdana" w:hAnsi="Verdana"/>
                <w:sz w:val="12"/>
                <w:szCs w:val="12"/>
              </w:rPr>
            </w:pPr>
            <w:r w:rsidRPr="00ED7F80">
              <w:rPr>
                <w:rFonts w:ascii="Verdana" w:hAnsi="Verdana"/>
                <w:sz w:val="12"/>
                <w:szCs w:val="12"/>
              </w:rPr>
              <w:t xml:space="preserve"> Возмещение затрат на организацию и проведение аукциона осуществляется победителем аукциона (единственным участником) по фактическим затратам, определенным в соответствии с Положением 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 xml:space="preserve">о порядке организации и проведения аукциона </w:t>
            </w:r>
            <w:r>
              <w:rPr>
                <w:rFonts w:ascii="Verdana" w:hAnsi="Verdana"/>
                <w:sz w:val="12"/>
                <w:szCs w:val="12"/>
              </w:rPr>
              <w:t>№</w:t>
            </w:r>
            <w:r w:rsidR="00551A80">
              <w:rPr>
                <w:rFonts w:ascii="Verdana" w:hAnsi="Verdana"/>
                <w:sz w:val="12"/>
                <w:szCs w:val="12"/>
              </w:rPr>
              <w:t>70</w:t>
            </w:r>
            <w:r w:rsidR="00D15072">
              <w:rPr>
                <w:rFonts w:ascii="Verdana" w:hAnsi="Verdana"/>
                <w:sz w:val="12"/>
                <w:szCs w:val="12"/>
              </w:rPr>
              <w:t>/</w:t>
            </w:r>
            <w:r w:rsidR="004535FC">
              <w:rPr>
                <w:rFonts w:ascii="Verdana" w:hAnsi="Verdana"/>
                <w:sz w:val="12"/>
                <w:szCs w:val="12"/>
              </w:rPr>
              <w:t>19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. Победитель аукциона (единственный участник) обязан перечислить на текущий (расчетный) счет Организатора сумму затрат на организацию и проведение аукциона в белорусских рублях в течение 3 рабочих дней со дня его проведения.</w:t>
            </w:r>
          </w:p>
        </w:tc>
      </w:tr>
      <w:tr w:rsidR="0080328F" w:rsidRPr="00ED7F80" w:rsidTr="00CE5D91">
        <w:trPr>
          <w:trHeight w:val="727"/>
        </w:trPr>
        <w:tc>
          <w:tcPr>
            <w:tcW w:w="9586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1. Участнику, выигравшему аукцион, и единственному участнику сумма внесенного задатка учитывается в счет исполнения обязательств по договору, заключенному по результатам аукциона.</w:t>
            </w:r>
          </w:p>
          <w:p w:rsidR="0080328F" w:rsidRPr="00ED7F80" w:rsidRDefault="0080328F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Участникам, не выигравшим аукцион, единственному участнику, не согласившемуся приобрести предмет аукциона по начальной цене, увеличенной на 5 процентов, задаток возвращается в течение 5 рабочих дней со дня проведения аукциона. </w:t>
            </w:r>
          </w:p>
          <w:p w:rsidR="0080328F" w:rsidRPr="00ED7F80" w:rsidRDefault="0080328F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2.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Организатораукционаимеет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право снять предмет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аукциона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с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торгов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в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любоевремя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о чем Организатором аукциона извещаются участники аукциона.</w:t>
            </w:r>
          </w:p>
          <w:p w:rsidR="0080328F" w:rsidRPr="00ED7F80" w:rsidRDefault="0080328F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3. </w:t>
            </w:r>
            <w:r w:rsidRPr="00ED7F80">
              <w:rPr>
                <w:rFonts w:ascii="Verdana" w:hAnsi="Verdana"/>
                <w:bCs/>
                <w:sz w:val="12"/>
                <w:szCs w:val="12"/>
              </w:rPr>
              <w:t xml:space="preserve">Срок подписания договора купли-продажи предмета аукциона – в течение </w:t>
            </w:r>
            <w:r w:rsidR="00D15072">
              <w:rPr>
                <w:rFonts w:ascii="Verdana" w:hAnsi="Verdana"/>
                <w:bCs/>
                <w:sz w:val="12"/>
                <w:szCs w:val="12"/>
              </w:rPr>
              <w:t>1</w:t>
            </w:r>
            <w:r w:rsidR="00D15072" w:rsidRPr="00ED7F80">
              <w:rPr>
                <w:rFonts w:ascii="Verdana" w:hAnsi="Verdana"/>
                <w:bCs/>
                <w:sz w:val="12"/>
                <w:szCs w:val="12"/>
              </w:rPr>
              <w:t xml:space="preserve">0 </w:t>
            </w:r>
            <w:r w:rsidRPr="00ED7F80">
              <w:rPr>
                <w:rFonts w:ascii="Verdana" w:hAnsi="Verdana"/>
                <w:bCs/>
                <w:sz w:val="12"/>
                <w:szCs w:val="12"/>
              </w:rPr>
              <w:t xml:space="preserve">дней со дня проведения аукциона. Срок оплаты предмета аукциона по договору купли-продажи – в течение </w:t>
            </w:r>
            <w:r w:rsidR="00D15072">
              <w:rPr>
                <w:rFonts w:ascii="Verdana" w:hAnsi="Verdana"/>
                <w:bCs/>
                <w:sz w:val="12"/>
                <w:szCs w:val="12"/>
              </w:rPr>
              <w:t>2</w:t>
            </w:r>
            <w:r w:rsidR="00D15072" w:rsidRPr="00ED7F80">
              <w:rPr>
                <w:rFonts w:ascii="Verdana" w:hAnsi="Verdana"/>
                <w:bCs/>
                <w:sz w:val="12"/>
                <w:szCs w:val="12"/>
              </w:rPr>
              <w:t xml:space="preserve">0 </w:t>
            </w:r>
            <w:r w:rsidRPr="00ED7F80">
              <w:rPr>
                <w:rFonts w:ascii="Verdana" w:hAnsi="Verdana"/>
                <w:bCs/>
                <w:sz w:val="12"/>
                <w:szCs w:val="12"/>
              </w:rPr>
              <w:t>дней со дня проведения аукциона, если стороны договора не договорятся об ином сроке.</w:t>
            </w:r>
          </w:p>
        </w:tc>
      </w:tr>
      <w:tr w:rsidR="0080328F" w:rsidRPr="00ED7F80" w:rsidTr="00CE5D91">
        <w:trPr>
          <w:trHeight w:val="20"/>
        </w:trPr>
        <w:tc>
          <w:tcPr>
            <w:tcW w:w="9586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80328F" w:rsidRPr="00ED7F80" w:rsidRDefault="0080328F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Style w:val="a3"/>
                <w:rFonts w:ascii="Verdana" w:hAnsi="Verdana" w:cs="Tahoma"/>
                <w:color w:val="auto"/>
                <w:sz w:val="12"/>
                <w:szCs w:val="12"/>
                <w:u w:val="none"/>
                <w:bdr w:val="none" w:sz="0" w:space="0" w:color="auto" w:frame="1"/>
                <w:shd w:val="clear" w:color="auto" w:fill="FFFFFF"/>
              </w:rPr>
            </w:pP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КОНТАКТНАЯ ИНФОРМАЦИЯ ОРГАНИЗАТОРА АУКЦИОНА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+ 375 (17) 256-61-35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| 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+ 375 (</w:t>
            </w:r>
            <w:r w:rsidR="00266753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25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 xml:space="preserve">) </w:t>
            </w:r>
            <w:r w:rsidR="00266753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549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-</w:t>
            </w:r>
            <w:r w:rsidR="00266753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86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-</w:t>
            </w:r>
            <w:r w:rsidR="00266753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 xml:space="preserve">22 </w:t>
            </w:r>
            <w:r w:rsidR="00DA10AB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Игорь Садливский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  <w:hyperlink r:id="rId7" w:history="1">
              <w:r w:rsidRPr="00ED7F80">
                <w:rPr>
                  <w:rStyle w:val="a3"/>
                  <w:rFonts w:ascii="Verdana" w:hAnsi="Verdana" w:cs="Tahoma"/>
                  <w:color w:val="auto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auction@expertiza.by</w:t>
              </w:r>
            </w:hyperlink>
          </w:p>
          <w:p w:rsidR="007D6B97" w:rsidRPr="00B7111F" w:rsidRDefault="0080328F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Более подробную информацию и фото по </w:t>
            </w:r>
            <w:proofErr w:type="gramStart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объекту</w:t>
            </w:r>
            <w:proofErr w:type="gramEnd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возможно увидеть, посетив страницу </w:t>
            </w:r>
            <w:r w:rsidR="007D6B97" w:rsidRPr="00646B1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http://www.expertiza.by</w:t>
            </w:r>
          </w:p>
        </w:tc>
      </w:tr>
    </w:tbl>
    <w:p w:rsidR="004546D6" w:rsidRPr="00ED7F80" w:rsidRDefault="004546D6" w:rsidP="00B1551D">
      <w:pPr>
        <w:spacing w:after="0" w:line="240" w:lineRule="auto"/>
        <w:rPr>
          <w:rFonts w:ascii="Verdana" w:hAnsi="Verdana" w:cs="Times New Roman"/>
          <w:i/>
          <w:color w:val="FF0000"/>
          <w:sz w:val="12"/>
          <w:szCs w:val="12"/>
        </w:rPr>
      </w:pPr>
    </w:p>
    <w:sectPr w:rsidR="004546D6" w:rsidRPr="00ED7F80" w:rsidSect="000A027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0AE"/>
    <w:multiLevelType w:val="hybridMultilevel"/>
    <w:tmpl w:val="D1B46BB6"/>
    <w:lvl w:ilvl="0" w:tplc="B3F2B80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81A"/>
    <w:multiLevelType w:val="hybridMultilevel"/>
    <w:tmpl w:val="DE18C10A"/>
    <w:lvl w:ilvl="0" w:tplc="FE802E2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95C4E"/>
    <w:multiLevelType w:val="hybridMultilevel"/>
    <w:tmpl w:val="098489A4"/>
    <w:lvl w:ilvl="0" w:tplc="254E81B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A3137"/>
    <w:multiLevelType w:val="hybridMultilevel"/>
    <w:tmpl w:val="31A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608"/>
    <w:multiLevelType w:val="hybridMultilevel"/>
    <w:tmpl w:val="DE66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savePreviewPicture/>
  <w:compat/>
  <w:rsids>
    <w:rsidRoot w:val="00920833"/>
    <w:rsid w:val="00000A50"/>
    <w:rsid w:val="00023BFE"/>
    <w:rsid w:val="000269BF"/>
    <w:rsid w:val="0003677F"/>
    <w:rsid w:val="00043065"/>
    <w:rsid w:val="000451D0"/>
    <w:rsid w:val="000464C9"/>
    <w:rsid w:val="00054E31"/>
    <w:rsid w:val="00081101"/>
    <w:rsid w:val="00094527"/>
    <w:rsid w:val="000A0277"/>
    <w:rsid w:val="000C2599"/>
    <w:rsid w:val="000D1318"/>
    <w:rsid w:val="000E01E8"/>
    <w:rsid w:val="000E4B1D"/>
    <w:rsid w:val="000E64F5"/>
    <w:rsid w:val="00127A6F"/>
    <w:rsid w:val="00156089"/>
    <w:rsid w:val="00157791"/>
    <w:rsid w:val="00160E93"/>
    <w:rsid w:val="00161A5D"/>
    <w:rsid w:val="00163B1F"/>
    <w:rsid w:val="00172ABC"/>
    <w:rsid w:val="00174F5D"/>
    <w:rsid w:val="0018413C"/>
    <w:rsid w:val="001917E2"/>
    <w:rsid w:val="001A51B2"/>
    <w:rsid w:val="001A58EF"/>
    <w:rsid w:val="001D3C00"/>
    <w:rsid w:val="001D75DB"/>
    <w:rsid w:val="001F36C6"/>
    <w:rsid w:val="00205EAE"/>
    <w:rsid w:val="002133A8"/>
    <w:rsid w:val="0022297D"/>
    <w:rsid w:val="002256DC"/>
    <w:rsid w:val="00225F92"/>
    <w:rsid w:val="00246F0D"/>
    <w:rsid w:val="00247A5B"/>
    <w:rsid w:val="00266753"/>
    <w:rsid w:val="00277DE2"/>
    <w:rsid w:val="00286035"/>
    <w:rsid w:val="0028623B"/>
    <w:rsid w:val="002A63B0"/>
    <w:rsid w:val="002A77B8"/>
    <w:rsid w:val="002C34B1"/>
    <w:rsid w:val="002C61D9"/>
    <w:rsid w:val="00325E80"/>
    <w:rsid w:val="0033776C"/>
    <w:rsid w:val="003538A9"/>
    <w:rsid w:val="00355442"/>
    <w:rsid w:val="003772E1"/>
    <w:rsid w:val="003951C0"/>
    <w:rsid w:val="003A07AA"/>
    <w:rsid w:val="003B0F02"/>
    <w:rsid w:val="003C7D65"/>
    <w:rsid w:val="003E25DF"/>
    <w:rsid w:val="004000C7"/>
    <w:rsid w:val="0041756F"/>
    <w:rsid w:val="00422FE8"/>
    <w:rsid w:val="0042795B"/>
    <w:rsid w:val="00445A4D"/>
    <w:rsid w:val="004535FC"/>
    <w:rsid w:val="0045365C"/>
    <w:rsid w:val="004546D6"/>
    <w:rsid w:val="0045504D"/>
    <w:rsid w:val="00464954"/>
    <w:rsid w:val="00465851"/>
    <w:rsid w:val="004753A2"/>
    <w:rsid w:val="0047659F"/>
    <w:rsid w:val="00481C33"/>
    <w:rsid w:val="00485D37"/>
    <w:rsid w:val="004A4B3A"/>
    <w:rsid w:val="004B486B"/>
    <w:rsid w:val="004B5A9C"/>
    <w:rsid w:val="004C4740"/>
    <w:rsid w:val="005014A5"/>
    <w:rsid w:val="0050788D"/>
    <w:rsid w:val="005166C6"/>
    <w:rsid w:val="00516CE3"/>
    <w:rsid w:val="00521D5A"/>
    <w:rsid w:val="005422C7"/>
    <w:rsid w:val="00545C4A"/>
    <w:rsid w:val="00551A80"/>
    <w:rsid w:val="00552B85"/>
    <w:rsid w:val="005756C0"/>
    <w:rsid w:val="00576501"/>
    <w:rsid w:val="00590B55"/>
    <w:rsid w:val="00595223"/>
    <w:rsid w:val="005A611C"/>
    <w:rsid w:val="005C3297"/>
    <w:rsid w:val="005D1F73"/>
    <w:rsid w:val="005D3E7A"/>
    <w:rsid w:val="0060236E"/>
    <w:rsid w:val="0061036F"/>
    <w:rsid w:val="00621D3D"/>
    <w:rsid w:val="006323C3"/>
    <w:rsid w:val="00636176"/>
    <w:rsid w:val="00636AA6"/>
    <w:rsid w:val="00646B10"/>
    <w:rsid w:val="00655433"/>
    <w:rsid w:val="0065620D"/>
    <w:rsid w:val="00667408"/>
    <w:rsid w:val="00681329"/>
    <w:rsid w:val="00693FBA"/>
    <w:rsid w:val="006A01D1"/>
    <w:rsid w:val="006A7E76"/>
    <w:rsid w:val="0070398B"/>
    <w:rsid w:val="0070440D"/>
    <w:rsid w:val="00712D58"/>
    <w:rsid w:val="007172BA"/>
    <w:rsid w:val="00720110"/>
    <w:rsid w:val="00747C6B"/>
    <w:rsid w:val="00750B24"/>
    <w:rsid w:val="00767882"/>
    <w:rsid w:val="0078133A"/>
    <w:rsid w:val="00791C67"/>
    <w:rsid w:val="007A0427"/>
    <w:rsid w:val="007A1126"/>
    <w:rsid w:val="007A11AF"/>
    <w:rsid w:val="007A39E4"/>
    <w:rsid w:val="007A69D8"/>
    <w:rsid w:val="007D4869"/>
    <w:rsid w:val="007D6B97"/>
    <w:rsid w:val="007F216C"/>
    <w:rsid w:val="007F2E6B"/>
    <w:rsid w:val="0080201A"/>
    <w:rsid w:val="0080328F"/>
    <w:rsid w:val="00810CF7"/>
    <w:rsid w:val="00811796"/>
    <w:rsid w:val="0081677E"/>
    <w:rsid w:val="008740CE"/>
    <w:rsid w:val="0087556B"/>
    <w:rsid w:val="0088316D"/>
    <w:rsid w:val="00883224"/>
    <w:rsid w:val="008D0F13"/>
    <w:rsid w:val="008D2EB5"/>
    <w:rsid w:val="008D6E96"/>
    <w:rsid w:val="00906E06"/>
    <w:rsid w:val="00920833"/>
    <w:rsid w:val="009307E2"/>
    <w:rsid w:val="00934D28"/>
    <w:rsid w:val="00965C8F"/>
    <w:rsid w:val="00977114"/>
    <w:rsid w:val="0098470B"/>
    <w:rsid w:val="0099310C"/>
    <w:rsid w:val="009A144D"/>
    <w:rsid w:val="009A5221"/>
    <w:rsid w:val="009A6383"/>
    <w:rsid w:val="009A68B0"/>
    <w:rsid w:val="009C5929"/>
    <w:rsid w:val="009C7DA2"/>
    <w:rsid w:val="009D3FC6"/>
    <w:rsid w:val="009E385A"/>
    <w:rsid w:val="00A23CA1"/>
    <w:rsid w:val="00A63181"/>
    <w:rsid w:val="00A65270"/>
    <w:rsid w:val="00A7067A"/>
    <w:rsid w:val="00A82A1B"/>
    <w:rsid w:val="00A902D8"/>
    <w:rsid w:val="00AB25F5"/>
    <w:rsid w:val="00AB2DFF"/>
    <w:rsid w:val="00AF2BEC"/>
    <w:rsid w:val="00AF6DDB"/>
    <w:rsid w:val="00B00113"/>
    <w:rsid w:val="00B1551D"/>
    <w:rsid w:val="00B25AB5"/>
    <w:rsid w:val="00B25E36"/>
    <w:rsid w:val="00B32C90"/>
    <w:rsid w:val="00B43BE7"/>
    <w:rsid w:val="00B5377E"/>
    <w:rsid w:val="00B619DE"/>
    <w:rsid w:val="00B62DA0"/>
    <w:rsid w:val="00B7111F"/>
    <w:rsid w:val="00B722B2"/>
    <w:rsid w:val="00B76A6A"/>
    <w:rsid w:val="00B85416"/>
    <w:rsid w:val="00B95042"/>
    <w:rsid w:val="00BB059D"/>
    <w:rsid w:val="00BB0F4A"/>
    <w:rsid w:val="00BB21BB"/>
    <w:rsid w:val="00BC4D25"/>
    <w:rsid w:val="00BC787F"/>
    <w:rsid w:val="00BE4C32"/>
    <w:rsid w:val="00C01955"/>
    <w:rsid w:val="00C059FF"/>
    <w:rsid w:val="00C207A8"/>
    <w:rsid w:val="00C21191"/>
    <w:rsid w:val="00C31F35"/>
    <w:rsid w:val="00C33BBA"/>
    <w:rsid w:val="00C418BC"/>
    <w:rsid w:val="00C4210E"/>
    <w:rsid w:val="00C50247"/>
    <w:rsid w:val="00C560FA"/>
    <w:rsid w:val="00C832A1"/>
    <w:rsid w:val="00C9057B"/>
    <w:rsid w:val="00CA6498"/>
    <w:rsid w:val="00CB6303"/>
    <w:rsid w:val="00CB75A9"/>
    <w:rsid w:val="00CC7B63"/>
    <w:rsid w:val="00CD0B3B"/>
    <w:rsid w:val="00CD1883"/>
    <w:rsid w:val="00CD33C8"/>
    <w:rsid w:val="00CE50C6"/>
    <w:rsid w:val="00CE5D91"/>
    <w:rsid w:val="00CE71AA"/>
    <w:rsid w:val="00CF2FAB"/>
    <w:rsid w:val="00D04920"/>
    <w:rsid w:val="00D059DC"/>
    <w:rsid w:val="00D12222"/>
    <w:rsid w:val="00D15072"/>
    <w:rsid w:val="00D210DA"/>
    <w:rsid w:val="00D30930"/>
    <w:rsid w:val="00D35B50"/>
    <w:rsid w:val="00D4274E"/>
    <w:rsid w:val="00D42834"/>
    <w:rsid w:val="00D448CD"/>
    <w:rsid w:val="00D50168"/>
    <w:rsid w:val="00D61632"/>
    <w:rsid w:val="00D62BC2"/>
    <w:rsid w:val="00D7505B"/>
    <w:rsid w:val="00D81B91"/>
    <w:rsid w:val="00D81C04"/>
    <w:rsid w:val="00D81DEC"/>
    <w:rsid w:val="00D926B2"/>
    <w:rsid w:val="00D92A89"/>
    <w:rsid w:val="00D96F65"/>
    <w:rsid w:val="00DA10AB"/>
    <w:rsid w:val="00DA3318"/>
    <w:rsid w:val="00DA7614"/>
    <w:rsid w:val="00DB2DD3"/>
    <w:rsid w:val="00DC2839"/>
    <w:rsid w:val="00DD6555"/>
    <w:rsid w:val="00DE595A"/>
    <w:rsid w:val="00DE7B2B"/>
    <w:rsid w:val="00DF1E05"/>
    <w:rsid w:val="00E1028A"/>
    <w:rsid w:val="00E14B4E"/>
    <w:rsid w:val="00E2249D"/>
    <w:rsid w:val="00E25F86"/>
    <w:rsid w:val="00E5590B"/>
    <w:rsid w:val="00E730A4"/>
    <w:rsid w:val="00E75674"/>
    <w:rsid w:val="00E809D9"/>
    <w:rsid w:val="00E9329D"/>
    <w:rsid w:val="00EA039C"/>
    <w:rsid w:val="00EA0F41"/>
    <w:rsid w:val="00EA62A3"/>
    <w:rsid w:val="00EB08D8"/>
    <w:rsid w:val="00EC02DF"/>
    <w:rsid w:val="00EC0A90"/>
    <w:rsid w:val="00EC587B"/>
    <w:rsid w:val="00ED1F5D"/>
    <w:rsid w:val="00ED7422"/>
    <w:rsid w:val="00ED7F80"/>
    <w:rsid w:val="00EE27D4"/>
    <w:rsid w:val="00EE4023"/>
    <w:rsid w:val="00F02C55"/>
    <w:rsid w:val="00F074EB"/>
    <w:rsid w:val="00F116B4"/>
    <w:rsid w:val="00F133C4"/>
    <w:rsid w:val="00F1569B"/>
    <w:rsid w:val="00F466E7"/>
    <w:rsid w:val="00F5318E"/>
    <w:rsid w:val="00FA0EBC"/>
    <w:rsid w:val="00FB5FDB"/>
    <w:rsid w:val="00FB7E40"/>
    <w:rsid w:val="00FF1E00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DC"/>
    <w:rPr>
      <w:b/>
      <w:bCs/>
    </w:rPr>
  </w:style>
  <w:style w:type="character" w:customStyle="1" w:styleId="apple-converted-space">
    <w:name w:val="apple-converted-space"/>
    <w:basedOn w:val="a0"/>
    <w:rsid w:val="002256DC"/>
  </w:style>
  <w:style w:type="paragraph" w:styleId="3">
    <w:name w:val="Body Text Indent 3"/>
    <w:basedOn w:val="a"/>
    <w:link w:val="30"/>
    <w:rsid w:val="004000C7"/>
    <w:pPr>
      <w:spacing w:after="0" w:line="240" w:lineRule="auto"/>
      <w:ind w:right="-1327"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0C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3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4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A1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1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14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1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14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DC"/>
    <w:rPr>
      <w:b/>
      <w:bCs/>
    </w:rPr>
  </w:style>
  <w:style w:type="character" w:customStyle="1" w:styleId="apple-converted-space">
    <w:name w:val="apple-converted-space"/>
    <w:basedOn w:val="a0"/>
    <w:rsid w:val="002256DC"/>
  </w:style>
  <w:style w:type="paragraph" w:styleId="3">
    <w:name w:val="Body Text Indent 3"/>
    <w:basedOn w:val="a"/>
    <w:link w:val="30"/>
    <w:rsid w:val="004000C7"/>
    <w:pPr>
      <w:spacing w:after="0" w:line="240" w:lineRule="auto"/>
      <w:ind w:right="-1327"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0C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3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4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A1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1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14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1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14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ction@expertiz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FA0D-FD34-4F93-8C2E-DAE879D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2</cp:revision>
  <cp:lastPrinted>2019-12-05T13:03:00Z</cp:lastPrinted>
  <dcterms:created xsi:type="dcterms:W3CDTF">2019-12-10T14:22:00Z</dcterms:created>
  <dcterms:modified xsi:type="dcterms:W3CDTF">2019-12-10T14:22:00Z</dcterms:modified>
</cp:coreProperties>
</file>