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41" w:rsidRDefault="00AC52A6" w:rsidP="00AC52A6">
      <w:r>
        <w:t xml:space="preserve">  </w:t>
      </w:r>
    </w:p>
    <w:tbl>
      <w:tblPr>
        <w:tblW w:w="5000" w:type="pct"/>
        <w:tblCellMar>
          <w:left w:w="0" w:type="dxa"/>
          <w:right w:w="0" w:type="dxa"/>
        </w:tblCellMar>
        <w:tblLook w:val="04A0"/>
      </w:tblPr>
      <w:tblGrid>
        <w:gridCol w:w="5032"/>
        <w:gridCol w:w="4335"/>
      </w:tblGrid>
      <w:tr w:rsidR="003D2F41">
        <w:tc>
          <w:tcPr>
            <w:tcW w:w="2686" w:type="pct"/>
            <w:tcMar>
              <w:top w:w="0" w:type="dxa"/>
              <w:left w:w="6" w:type="dxa"/>
              <w:bottom w:w="0" w:type="dxa"/>
              <w:right w:w="6" w:type="dxa"/>
            </w:tcMar>
          </w:tcPr>
          <w:p w:rsidR="003D2F41" w:rsidRDefault="003D2F41">
            <w:r>
              <w:t> </w:t>
            </w:r>
          </w:p>
        </w:tc>
        <w:tc>
          <w:tcPr>
            <w:tcW w:w="2314" w:type="pct"/>
            <w:tcMar>
              <w:top w:w="0" w:type="dxa"/>
              <w:left w:w="6" w:type="dxa"/>
              <w:bottom w:w="0" w:type="dxa"/>
              <w:right w:w="6" w:type="dxa"/>
            </w:tcMar>
          </w:tcPr>
          <w:p w:rsidR="003D2F41" w:rsidRDefault="003D2F41">
            <w:bookmarkStart w:id="0" w:name="anchorПрил_20"/>
            <w:bookmarkStart w:id="1" w:name="Прил_20"/>
            <w:bookmarkEnd w:id="0"/>
            <w:bookmarkEnd w:id="1"/>
            <w:r>
              <w:t>Приложение 20</w:t>
            </w:r>
          </w:p>
          <w:p w:rsidR="003D2F41" w:rsidRDefault="003D2F41">
            <w:r>
              <w:t>к Налоговому кодексу Республики Беларусь</w:t>
            </w:r>
          </w:p>
          <w:p w:rsidR="003D2F41" w:rsidRDefault="003D2F41">
            <w:r>
              <w:t>(особенная часть) от 29.12.2009 №71-3</w:t>
            </w:r>
          </w:p>
          <w:p w:rsidR="003D2F41" w:rsidRDefault="003D2F41">
            <w:pPr>
              <w:rPr>
                <w:i/>
                <w:iCs/>
              </w:rPr>
            </w:pPr>
            <w:proofErr w:type="gramStart"/>
            <w:r>
              <w:rPr>
                <w:i/>
                <w:iCs/>
              </w:rPr>
              <w:t>Принят</w:t>
            </w:r>
            <w:proofErr w:type="gramEnd"/>
            <w:r>
              <w:rPr>
                <w:i/>
                <w:iCs/>
              </w:rPr>
              <w:t xml:space="preserve"> Палатой представителей 11 декабря 2009 года</w:t>
            </w:r>
            <w:r>
              <w:rPr>
                <w:i/>
                <w:iCs/>
              </w:rPr>
              <w:br/>
              <w:t>Одобрен Советом Республики 18 декабря 2009 года</w:t>
            </w:r>
          </w:p>
        </w:tc>
      </w:tr>
    </w:tbl>
    <w:p w:rsidR="003D2F41" w:rsidRDefault="003D2F41" w:rsidP="003D2F41">
      <w:pPr>
        <w:rPr>
          <w:b/>
          <w:bCs/>
        </w:rPr>
      </w:pPr>
      <w:bookmarkStart w:id="2" w:name="anchorЗаг_Прил_20"/>
      <w:bookmarkStart w:id="3" w:name="Заг_Прил_20"/>
      <w:bookmarkEnd w:id="2"/>
      <w:bookmarkEnd w:id="3"/>
      <w:r>
        <w:rPr>
          <w:b/>
          <w:bCs/>
        </w:rPr>
        <w:t>Ставки государственной пошлины за совершение действий, связанных с регистрацией актов гражданского состояния</w:t>
      </w:r>
    </w:p>
    <w:tbl>
      <w:tblPr>
        <w:tblW w:w="5000" w:type="pct"/>
        <w:tblCellMar>
          <w:left w:w="0" w:type="dxa"/>
          <w:right w:w="0" w:type="dxa"/>
        </w:tblCellMar>
        <w:tblLook w:val="04A0"/>
      </w:tblPr>
      <w:tblGrid>
        <w:gridCol w:w="6486"/>
        <w:gridCol w:w="2881"/>
      </w:tblGrid>
      <w:tr w:rsidR="003D2F41">
        <w:trPr>
          <w:trHeight w:val="20"/>
        </w:trPr>
        <w:tc>
          <w:tcPr>
            <w:tcW w:w="34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3D2F41" w:rsidRDefault="003D2F41">
            <w:r>
              <w:t>Наименование документов и действий, за которые взимается государственная пошлина</w:t>
            </w:r>
          </w:p>
        </w:tc>
        <w:tc>
          <w:tcPr>
            <w:tcW w:w="15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3D2F41" w:rsidRDefault="003D2F41">
            <w:r>
              <w:t>Ставки государственной пошлины</w:t>
            </w:r>
          </w:p>
        </w:tc>
      </w:tr>
      <w:tr w:rsidR="003D2F41">
        <w:trPr>
          <w:trHeight w:val="20"/>
        </w:trPr>
        <w:tc>
          <w:tcPr>
            <w:tcW w:w="3462" w:type="pct"/>
            <w:tcBorders>
              <w:top w:val="single" w:sz="4" w:space="0" w:color="auto"/>
              <w:left w:val="nil"/>
              <w:bottom w:val="nil"/>
              <w:right w:val="nil"/>
            </w:tcBorders>
            <w:tcMar>
              <w:top w:w="0" w:type="dxa"/>
              <w:left w:w="6" w:type="dxa"/>
              <w:bottom w:w="0" w:type="dxa"/>
              <w:right w:w="6" w:type="dxa"/>
            </w:tcMar>
          </w:tcPr>
          <w:p w:rsidR="003D2F41" w:rsidRDefault="003D2F41">
            <w:r>
              <w:t>1. Регистрация заключения брака, включая выдачу свидетельства</w:t>
            </w:r>
          </w:p>
        </w:tc>
        <w:tc>
          <w:tcPr>
            <w:tcW w:w="1538" w:type="pct"/>
            <w:tcBorders>
              <w:top w:val="single" w:sz="4" w:space="0" w:color="auto"/>
              <w:left w:val="nil"/>
              <w:bottom w:val="nil"/>
              <w:right w:val="nil"/>
            </w:tcBorders>
            <w:tcMar>
              <w:top w:w="0" w:type="dxa"/>
              <w:left w:w="6" w:type="dxa"/>
              <w:bottom w:w="0" w:type="dxa"/>
              <w:right w:w="6" w:type="dxa"/>
            </w:tcMar>
          </w:tcPr>
          <w:p w:rsidR="003D2F41" w:rsidRDefault="003D2F41">
            <w:r>
              <w:t>1 базовая величина</w:t>
            </w:r>
          </w:p>
        </w:tc>
      </w:tr>
      <w:tr w:rsidR="003D2F41">
        <w:trPr>
          <w:trHeight w:val="20"/>
        </w:trPr>
        <w:tc>
          <w:tcPr>
            <w:tcW w:w="3462" w:type="pct"/>
            <w:tcMar>
              <w:top w:w="0" w:type="dxa"/>
              <w:left w:w="6" w:type="dxa"/>
              <w:bottom w:w="0" w:type="dxa"/>
              <w:right w:w="6" w:type="dxa"/>
            </w:tcMar>
          </w:tcPr>
          <w:p w:rsidR="003D2F41" w:rsidRDefault="003D2F41">
            <w: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p>
        </w:tc>
        <w:tc>
          <w:tcPr>
            <w:tcW w:w="1538" w:type="pct"/>
            <w:tcMar>
              <w:top w:w="0" w:type="dxa"/>
              <w:left w:w="6" w:type="dxa"/>
              <w:bottom w:w="0" w:type="dxa"/>
              <w:right w:w="6" w:type="dxa"/>
            </w:tcMar>
          </w:tcPr>
          <w:p w:rsidR="003D2F41" w:rsidRDefault="003D2F41">
            <w:r>
              <w:t xml:space="preserve">2 </w:t>
            </w:r>
            <w:proofErr w:type="gramStart"/>
            <w:r>
              <w:t>базовые</w:t>
            </w:r>
            <w:proofErr w:type="gramEnd"/>
            <w:r>
              <w:t xml:space="preserve"> величина</w:t>
            </w:r>
          </w:p>
        </w:tc>
      </w:tr>
      <w:tr w:rsidR="003D2F41">
        <w:trPr>
          <w:trHeight w:val="20"/>
        </w:trPr>
        <w:tc>
          <w:tcPr>
            <w:tcW w:w="3462" w:type="pct"/>
            <w:tcMar>
              <w:top w:w="0" w:type="dxa"/>
              <w:left w:w="6" w:type="dxa"/>
              <w:bottom w:w="0" w:type="dxa"/>
              <w:right w:w="6" w:type="dxa"/>
            </w:tcMar>
          </w:tcPr>
          <w:p w:rsidR="003D2F41" w:rsidRDefault="003D2F41">
            <w:r>
              <w:t>2</w:t>
            </w:r>
            <w:r>
              <w:rPr>
                <w:vertAlign w:val="superscript"/>
              </w:rPr>
              <w:t>1</w:t>
            </w:r>
            <w: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vertAlign w:val="superscript"/>
              </w:rPr>
              <w:t>1</w:t>
            </w:r>
            <w:r>
              <w:t xml:space="preserve"> Кодекса Республики Беларусь о браке и семье), включая выдачу свидетельств</w:t>
            </w:r>
          </w:p>
        </w:tc>
        <w:tc>
          <w:tcPr>
            <w:tcW w:w="1538" w:type="pct"/>
            <w:tcMar>
              <w:top w:w="0" w:type="dxa"/>
              <w:left w:w="6" w:type="dxa"/>
              <w:bottom w:w="0" w:type="dxa"/>
              <w:right w:w="6" w:type="dxa"/>
            </w:tcMar>
          </w:tcPr>
          <w:p w:rsidR="003D2F41" w:rsidRDefault="003D2F41">
            <w:r>
              <w:t>4 базовые величины</w:t>
            </w:r>
          </w:p>
        </w:tc>
      </w:tr>
      <w:tr w:rsidR="003D2F41">
        <w:trPr>
          <w:trHeight w:val="20"/>
        </w:trPr>
        <w:tc>
          <w:tcPr>
            <w:tcW w:w="3462" w:type="pct"/>
            <w:tcMar>
              <w:top w:w="0" w:type="dxa"/>
              <w:left w:w="6" w:type="dxa"/>
              <w:bottom w:w="0" w:type="dxa"/>
              <w:right w:w="6" w:type="dxa"/>
            </w:tcMar>
          </w:tcPr>
          <w:p w:rsidR="003D2F41" w:rsidRDefault="003D2F41">
            <w:r>
              <w:t>3. Регистрация перемены фамилии, собственного имени и отчества, включая выдачу свидетельства</w:t>
            </w:r>
          </w:p>
        </w:tc>
        <w:tc>
          <w:tcPr>
            <w:tcW w:w="1538" w:type="pct"/>
            <w:tcMar>
              <w:top w:w="0" w:type="dxa"/>
              <w:left w:w="6" w:type="dxa"/>
              <w:bottom w:w="0" w:type="dxa"/>
              <w:right w:w="6" w:type="dxa"/>
            </w:tcMar>
          </w:tcPr>
          <w:p w:rsidR="003D2F41" w:rsidRDefault="003D2F41">
            <w:r>
              <w:t>2 базовые величины</w:t>
            </w:r>
          </w:p>
        </w:tc>
      </w:tr>
      <w:tr w:rsidR="003D2F41">
        <w:trPr>
          <w:trHeight w:val="20"/>
        </w:trPr>
        <w:tc>
          <w:tcPr>
            <w:tcW w:w="3462" w:type="pct"/>
            <w:tcMar>
              <w:top w:w="0" w:type="dxa"/>
              <w:left w:w="6" w:type="dxa"/>
              <w:bottom w:w="0" w:type="dxa"/>
              <w:right w:w="6" w:type="dxa"/>
            </w:tcMar>
          </w:tcPr>
          <w:p w:rsidR="003D2F41" w:rsidRDefault="003D2F41">
            <w:r>
              <w:t>4.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1538" w:type="pct"/>
            <w:tcMar>
              <w:top w:w="0" w:type="dxa"/>
              <w:left w:w="6" w:type="dxa"/>
              <w:bottom w:w="0" w:type="dxa"/>
              <w:right w:w="6" w:type="dxa"/>
            </w:tcMar>
          </w:tcPr>
          <w:p w:rsidR="003D2F41" w:rsidRDefault="003D2F41">
            <w:r>
              <w:t xml:space="preserve">1 базовая величина </w:t>
            </w:r>
          </w:p>
        </w:tc>
      </w:tr>
      <w:tr w:rsidR="003D2F41">
        <w:trPr>
          <w:trHeight w:val="20"/>
        </w:trPr>
        <w:tc>
          <w:tcPr>
            <w:tcW w:w="3462" w:type="pct"/>
            <w:tcBorders>
              <w:top w:val="nil"/>
              <w:left w:val="nil"/>
              <w:bottom w:val="single" w:sz="4" w:space="0" w:color="auto"/>
              <w:right w:val="nil"/>
            </w:tcBorders>
            <w:tcMar>
              <w:top w:w="0" w:type="dxa"/>
              <w:left w:w="6" w:type="dxa"/>
              <w:bottom w:w="0" w:type="dxa"/>
              <w:right w:w="6" w:type="dxa"/>
            </w:tcMar>
          </w:tcPr>
          <w:p w:rsidR="003D2F41" w:rsidRDefault="003D2F41">
            <w:r>
              <w:t>5. Выдача повторных свидетельств о регистрации актов гражданского состояния</w:t>
            </w:r>
          </w:p>
        </w:tc>
        <w:tc>
          <w:tcPr>
            <w:tcW w:w="1538" w:type="pct"/>
            <w:tcBorders>
              <w:top w:val="nil"/>
              <w:left w:val="nil"/>
              <w:bottom w:val="single" w:sz="4" w:space="0" w:color="auto"/>
              <w:right w:val="nil"/>
            </w:tcBorders>
            <w:tcMar>
              <w:top w:w="0" w:type="dxa"/>
              <w:left w:w="6" w:type="dxa"/>
              <w:bottom w:w="0" w:type="dxa"/>
              <w:right w:w="6" w:type="dxa"/>
            </w:tcMar>
          </w:tcPr>
          <w:p w:rsidR="003D2F41" w:rsidRDefault="003D2F41">
            <w:r>
              <w:t>1 базовая величина</w:t>
            </w:r>
          </w:p>
        </w:tc>
      </w:tr>
    </w:tbl>
    <w:p w:rsidR="003D2F41" w:rsidRDefault="003D2F41" w:rsidP="003D2F41">
      <w:r>
        <w:pict>
          <v:rect id="Прямоугольник 1" o:spid="_x0000_s1027" style="position:absolute;margin-left:-27pt;margin-top:10.65pt;width:531pt;height:54pt;z-index:-1;visibility:visible;mso-position-horizontal-relative:text;mso-position-vertical-relative:text"/>
        </w:pict>
      </w:r>
      <w:r>
        <w:t> </w:t>
      </w:r>
    </w:p>
    <w:p w:rsidR="003D2F41" w:rsidRDefault="00913729" w:rsidP="003D2F41">
      <w:pPr>
        <w:rPr>
          <w:b/>
        </w:rPr>
      </w:pPr>
      <w:r>
        <w:rPr>
          <w:b/>
        </w:rPr>
        <w:t>С 01.01.2017</w:t>
      </w:r>
      <w:r w:rsidR="003D2F41">
        <w:rPr>
          <w:b/>
        </w:rPr>
        <w:t xml:space="preserve">  базовая величина установлена в размере </w:t>
      </w:r>
      <w:r>
        <w:rPr>
          <w:b/>
          <w:u w:val="single"/>
        </w:rPr>
        <w:t>23</w:t>
      </w:r>
      <w:r w:rsidR="003D2F41">
        <w:rPr>
          <w:b/>
          <w:u w:val="single"/>
        </w:rPr>
        <w:t xml:space="preserve"> рубл</w:t>
      </w:r>
      <w:r>
        <w:rPr>
          <w:b/>
          <w:u w:val="single"/>
        </w:rPr>
        <w:t>я</w:t>
      </w:r>
    </w:p>
    <w:p w:rsidR="00913729" w:rsidRDefault="00913729" w:rsidP="00913729">
      <w:pPr>
        <w:pStyle w:val="newncpi"/>
        <w:ind w:firstLine="0"/>
        <w:rPr>
          <w:rStyle w:val="number"/>
          <w:i/>
        </w:rPr>
      </w:pPr>
      <w:r>
        <w:rPr>
          <w:i/>
        </w:rPr>
        <w:t xml:space="preserve"> </w:t>
      </w:r>
      <w:proofErr w:type="gramStart"/>
      <w:r w:rsidR="003D2F41">
        <w:rPr>
          <w:i/>
        </w:rPr>
        <w:t xml:space="preserve">(постановление Совета Министров Республики Беларусь </w:t>
      </w:r>
      <w:r w:rsidRPr="00913729">
        <w:rPr>
          <w:rStyle w:val="datepr"/>
          <w:i/>
        </w:rPr>
        <w:t>28 ноября 2016 г.</w:t>
      </w:r>
      <w:r w:rsidRPr="00913729">
        <w:rPr>
          <w:rStyle w:val="number"/>
          <w:i/>
        </w:rPr>
        <w:t xml:space="preserve"> № 974</w:t>
      </w:r>
      <w:proofErr w:type="gramEnd"/>
    </w:p>
    <w:p w:rsidR="003D2F41" w:rsidRPr="00913729" w:rsidRDefault="003D2F41" w:rsidP="00913729">
      <w:pPr>
        <w:pStyle w:val="newncpi"/>
        <w:ind w:firstLine="0"/>
      </w:pPr>
      <w:r>
        <w:rPr>
          <w:i/>
        </w:rPr>
        <w:t xml:space="preserve"> «Об установлении размера базовой величины»</w:t>
      </w:r>
    </w:p>
    <w:p w:rsidR="003D2F41" w:rsidRDefault="003D2F41" w:rsidP="003D2F41">
      <w:pPr>
        <w:rPr>
          <w:i/>
        </w:rPr>
      </w:pPr>
    </w:p>
    <w:p w:rsidR="003D2F41" w:rsidRDefault="003D2F41" w:rsidP="003D2F41">
      <w:r>
        <w:tab/>
      </w:r>
      <w:r>
        <w:tab/>
      </w:r>
      <w:r>
        <w:tab/>
      </w:r>
      <w:r>
        <w:tab/>
      </w:r>
      <w:r>
        <w:tab/>
      </w:r>
      <w:r>
        <w:tab/>
      </w:r>
      <w:r>
        <w:tab/>
      </w:r>
      <w:r>
        <w:tab/>
      </w:r>
      <w:r>
        <w:tab/>
      </w:r>
      <w:r>
        <w:tab/>
      </w:r>
      <w:r>
        <w:tab/>
      </w:r>
    </w:p>
    <w:p w:rsidR="00AC52A6" w:rsidRDefault="00AC52A6" w:rsidP="00AC52A6">
      <w:r>
        <w:t xml:space="preserve">               </w:t>
      </w:r>
    </w:p>
    <w:p w:rsidR="00AC52A6" w:rsidRDefault="00AC52A6" w:rsidP="00AC52A6">
      <w:pPr>
        <w:rPr>
          <w:b/>
        </w:rPr>
      </w:pPr>
      <w:r>
        <w:t xml:space="preserve">                                                                                                                                 (</w:t>
      </w:r>
      <w:r>
        <w:rPr>
          <w:b/>
        </w:rPr>
        <w:t>извлечение)</w:t>
      </w:r>
    </w:p>
    <w:p w:rsidR="00AC52A6" w:rsidRDefault="00AC52A6" w:rsidP="00AC52A6">
      <w:pPr>
        <w:pStyle w:val="articlect"/>
      </w:pPr>
      <w:r>
        <w:t xml:space="preserve">Статья 251. Сроки и порядок уплаты государственной пошлины </w:t>
      </w:r>
    </w:p>
    <w:p w:rsidR="00AC52A6" w:rsidRDefault="00AC52A6" w:rsidP="00AC52A6">
      <w:pPr>
        <w:pStyle w:val="point"/>
      </w:pPr>
      <w:r>
        <w:t>1. Государственная пошлина уплачивается:</w:t>
      </w:r>
    </w:p>
    <w:p w:rsidR="00AC52A6" w:rsidRDefault="00AC52A6" w:rsidP="00AC52A6">
      <w:pPr>
        <w:pStyle w:val="underpoint"/>
      </w:pPr>
      <w:r>
        <w:t>…1.6. за регистрацию перемены фамилии, собственного имени, отчества, за выдачу свидетель</w:t>
      </w:r>
      <w:proofErr w:type="gramStart"/>
      <w:r>
        <w:t>ств в св</w:t>
      </w:r>
      <w:proofErr w:type="gramEnd"/>
      <w: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этих свидетельств;</w:t>
      </w:r>
    </w:p>
    <w:p w:rsidR="00AC52A6" w:rsidRDefault="00AC52A6" w:rsidP="00AC52A6">
      <w:pPr>
        <w:pStyle w:val="ConsPlusNormal"/>
        <w:ind w:firstLine="540"/>
        <w:jc w:val="both"/>
        <w:rPr>
          <w:rFonts w:ascii="Times New Roman" w:hAnsi="Times New Roman" w:cs="Times New Roman"/>
          <w:sz w:val="24"/>
          <w:szCs w:val="24"/>
        </w:rPr>
      </w:pPr>
    </w:p>
    <w:p w:rsidR="00AC52A6" w:rsidRDefault="00AC52A6" w:rsidP="00AC52A6">
      <w:pPr>
        <w:pStyle w:val="ConsPlusNormal"/>
        <w:ind w:firstLine="540"/>
        <w:jc w:val="both"/>
        <w:rPr>
          <w:rFonts w:ascii="Times New Roman" w:hAnsi="Times New Roman" w:cs="Times New Roman"/>
          <w:sz w:val="24"/>
          <w:szCs w:val="24"/>
        </w:rPr>
      </w:pPr>
    </w:p>
    <w:p w:rsidR="00AC52A6" w:rsidRDefault="00AC52A6" w:rsidP="00AC52A6">
      <w:pPr>
        <w:pStyle w:val="ConsPlusNormal"/>
        <w:ind w:firstLine="540"/>
        <w:jc w:val="both"/>
        <w:rPr>
          <w:rFonts w:ascii="Times New Roman" w:hAnsi="Times New Roman" w:cs="Times New Roman"/>
          <w:sz w:val="24"/>
          <w:szCs w:val="24"/>
        </w:rPr>
      </w:pPr>
    </w:p>
    <w:p w:rsidR="00AC52A6" w:rsidRDefault="00AC52A6" w:rsidP="00AC52A6">
      <w:pPr>
        <w:pStyle w:val="ConsPlusNormal"/>
        <w:ind w:firstLine="540"/>
        <w:jc w:val="both"/>
        <w:rPr>
          <w:rFonts w:ascii="Times New Roman" w:hAnsi="Times New Roman" w:cs="Times New Roman"/>
          <w:sz w:val="24"/>
          <w:szCs w:val="24"/>
        </w:rPr>
      </w:pPr>
    </w:p>
    <w:p w:rsidR="00AC52A6" w:rsidRDefault="00AC52A6" w:rsidP="00AC52A6">
      <w:pPr>
        <w:pStyle w:val="titlek"/>
        <w:spacing w:line="240" w:lineRule="exact"/>
        <w:rPr>
          <w:sz w:val="20"/>
          <w:szCs w:val="20"/>
        </w:rPr>
      </w:pPr>
      <w:r>
        <w:rPr>
          <w:sz w:val="20"/>
          <w:szCs w:val="20"/>
        </w:rPr>
        <w:t xml:space="preserve">Налоговый кодекс Республики Беларусь </w:t>
      </w:r>
      <w:r>
        <w:rPr>
          <w:rStyle w:val="datepr"/>
          <w:sz w:val="20"/>
          <w:szCs w:val="20"/>
        </w:rPr>
        <w:t xml:space="preserve">29 декабря </w:t>
      </w:r>
      <w:smartTag w:uri="urn:schemas-microsoft-com:office:smarttags" w:element="metricconverter">
        <w:smartTagPr>
          <w:attr w:name="ProductID" w:val="2009 Г"/>
        </w:smartTagPr>
        <w:r>
          <w:rPr>
            <w:rStyle w:val="datepr"/>
            <w:sz w:val="20"/>
            <w:szCs w:val="20"/>
          </w:rPr>
          <w:t>2009 г</w:t>
        </w:r>
      </w:smartTag>
      <w:r>
        <w:rPr>
          <w:rStyle w:val="datepr"/>
          <w:sz w:val="20"/>
          <w:szCs w:val="20"/>
        </w:rPr>
        <w:t>.</w:t>
      </w:r>
      <w:r>
        <w:rPr>
          <w:rStyle w:val="number"/>
          <w:sz w:val="20"/>
          <w:szCs w:val="20"/>
        </w:rPr>
        <w:t xml:space="preserve"> № 71-З</w:t>
      </w:r>
      <w:r>
        <w:rPr>
          <w:sz w:val="20"/>
          <w:szCs w:val="20"/>
        </w:rPr>
        <w:br/>
        <w:t>(Особенная часть)</w:t>
      </w:r>
    </w:p>
    <w:p w:rsidR="00AC52A6" w:rsidRDefault="00AC52A6" w:rsidP="00AC52A6">
      <w:pPr>
        <w:pStyle w:val="newncpi"/>
        <w:spacing w:line="240" w:lineRule="exact"/>
        <w:ind w:firstLine="0"/>
        <w:jc w:val="center"/>
        <w:rPr>
          <w:sz w:val="20"/>
          <w:szCs w:val="20"/>
        </w:rPr>
      </w:pPr>
      <w:proofErr w:type="gramStart"/>
      <w:r>
        <w:rPr>
          <w:sz w:val="20"/>
          <w:szCs w:val="20"/>
        </w:rPr>
        <w:t>Принят</w:t>
      </w:r>
      <w:proofErr w:type="gramEnd"/>
      <w:r>
        <w:rPr>
          <w:sz w:val="20"/>
          <w:szCs w:val="20"/>
        </w:rPr>
        <w:t xml:space="preserve"> Палатой представителей 11 декабря 2009 года</w:t>
      </w:r>
      <w:r>
        <w:rPr>
          <w:sz w:val="20"/>
          <w:szCs w:val="20"/>
        </w:rPr>
        <w:br/>
        <w:t>Одобрен Советом Республики 18 декабря 2009 года</w:t>
      </w:r>
    </w:p>
    <w:p w:rsidR="00AC52A6" w:rsidRDefault="00AC52A6" w:rsidP="00AC52A6">
      <w:pPr>
        <w:rPr>
          <w:b/>
        </w:rPr>
      </w:pPr>
      <w:r>
        <w:rPr>
          <w:b/>
        </w:rPr>
        <w:t>(извлечение)</w:t>
      </w:r>
    </w:p>
    <w:p w:rsidR="00AC52A6" w:rsidRDefault="00AC52A6" w:rsidP="00AC52A6">
      <w:pPr>
        <w:jc w:val="center"/>
        <w:rPr>
          <w:b/>
        </w:rPr>
      </w:pPr>
      <w:r>
        <w:rPr>
          <w:b/>
        </w:rPr>
        <w:t>Статья 257. Льготы по государственной пошлине</w:t>
      </w:r>
    </w:p>
    <w:p w:rsidR="00AC52A6" w:rsidRDefault="00AC52A6" w:rsidP="00AC52A6">
      <w:r>
        <w:t>…</w:t>
      </w:r>
    </w:p>
    <w:p w:rsidR="00AC52A6" w:rsidRDefault="00AC52A6" w:rsidP="00AC52A6">
      <w:pPr>
        <w:pStyle w:val="point"/>
      </w:pPr>
      <w:r>
        <w:t>3. Освобождаются от государственной пошлины в органах, регистрирующих акты гражданского состояния:</w:t>
      </w:r>
    </w:p>
    <w:p w:rsidR="00AC52A6" w:rsidRDefault="00AC52A6" w:rsidP="00AC52A6">
      <w:pPr>
        <w:pStyle w:val="underpoint"/>
      </w:pPr>
      <w:r>
        <w:t>3.1. плательщики:</w:t>
      </w:r>
    </w:p>
    <w:p w:rsidR="00AC52A6" w:rsidRDefault="00AC52A6" w:rsidP="00AC52A6">
      <w:pPr>
        <w:pStyle w:val="underpoint"/>
      </w:pPr>
      <w:proofErr w:type="gramStart"/>
      <w:r>
        <w:t>3.1.1. за регистрацию рождения, усыновления (удочерения), установления материнства и (или) отцовства, смерти;</w:t>
      </w:r>
      <w:proofErr w:type="gramEnd"/>
    </w:p>
    <w:p w:rsidR="00AC52A6" w:rsidRDefault="00AC52A6" w:rsidP="00AC52A6">
      <w:pPr>
        <w:pStyle w:val="underpoint"/>
      </w:pPr>
      <w:r>
        <w:t>3.1.2. за выдачу свидетель</w:t>
      </w:r>
      <w:proofErr w:type="gramStart"/>
      <w:r>
        <w:t>ств в св</w:t>
      </w:r>
      <w:proofErr w:type="gramEnd"/>
      <w:r>
        <w:t>язи с изменением, дополнением записей актов о рождении в случае установления материнства и (или) отцовства, усыновления (удочерения), о смерти;</w:t>
      </w:r>
    </w:p>
    <w:p w:rsidR="00AC52A6" w:rsidRDefault="00AC52A6" w:rsidP="00AC52A6">
      <w:pPr>
        <w:pStyle w:val="underpoint"/>
      </w:pPr>
      <w:r>
        <w:t>3.2. граждане – за выдачу повторных свидетельств о смерти военнослужащих и военных строителей, погибших в период прохождения военной службы в мирное время;</w:t>
      </w:r>
    </w:p>
    <w:p w:rsidR="00AC52A6" w:rsidRDefault="00AC52A6" w:rsidP="00AC52A6">
      <w:pPr>
        <w:pStyle w:val="underpoint"/>
      </w:pPr>
      <w:r>
        <w:t>3.3.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выдачу документов, связанных с реабилитацией;</w:t>
      </w:r>
    </w:p>
    <w:p w:rsidR="00AC52A6" w:rsidRDefault="00AC52A6" w:rsidP="00AC52A6">
      <w:pPr>
        <w:pStyle w:val="underpoint"/>
      </w:pPr>
      <w:r>
        <w:t>3.4. инвалиды и участники Великой Отечественной войны – за выдачу им свидетель</w:t>
      </w:r>
      <w:proofErr w:type="gramStart"/>
      <w:r>
        <w:t>ств в св</w:t>
      </w:r>
      <w:proofErr w:type="gramEnd"/>
      <w: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AC52A6" w:rsidRDefault="00AC52A6" w:rsidP="00AC52A6">
      <w:pPr>
        <w:pStyle w:val="underpoint"/>
      </w:pPr>
      <w:r>
        <w:t>3.5. </w:t>
      </w:r>
      <w:proofErr w:type="gramStart"/>
      <w: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w:t>
      </w:r>
      <w:proofErr w:type="gramEnd"/>
      <w:r>
        <w:t xml:space="preserve"> </w:t>
      </w:r>
      <w:proofErr w:type="gramStart"/>
      <w:r>
        <w:t>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w:t>
      </w:r>
      <w:proofErr w:type="gramEnd"/>
      <w:r>
        <w:t xml:space="preserve">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AC52A6" w:rsidRDefault="00AC52A6" w:rsidP="00AC52A6">
      <w:pPr>
        <w:pStyle w:val="underpoint"/>
      </w:pPr>
      <w:proofErr w:type="gramStart"/>
      <w:r>
        <w:t>3.6. опекуны, попечители, управления и отделы образования местных исполнительных и распорядительных органов, детские интернатные учреждения, учреждения профессионально-технического, среднего специального, высшего образования –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 оставшимся без попечения родителей;</w:t>
      </w:r>
      <w:proofErr w:type="gramEnd"/>
    </w:p>
    <w:p w:rsidR="00AC52A6" w:rsidRDefault="00AC52A6" w:rsidP="00AC52A6">
      <w:pPr>
        <w:pStyle w:val="underpoint"/>
      </w:pPr>
      <w:r>
        <w:lastRenderedPageBreak/>
        <w:t>3.7. комиссии по делам несовершеннолетних и органы опеки и попечительства – за выдачу повторных свидетельств о рождении для направления детей-сирот и детей, оставшихся без попечения родителей, в детские интернатные учреждения и учреждения образования. (Налоговый кодекс Республики Беларусь (Особенная часть) от 29 декабря 2009 года (Национальный реестр правовых актов Республики Беларусь, 2010 г., № 4, 2/1623))</w:t>
      </w:r>
    </w:p>
    <w:p w:rsidR="009104DE" w:rsidRDefault="009104DE" w:rsidP="009104DE">
      <w:pPr>
        <w:pStyle w:val="underpoint"/>
      </w:pPr>
    </w:p>
    <w:p w:rsidR="009104DE" w:rsidRDefault="009104DE" w:rsidP="009104DE">
      <w:pPr>
        <w:pStyle w:val="underpoint"/>
      </w:pPr>
      <w:proofErr w:type="gramStart"/>
      <w:r>
        <w:t>9.1.</w:t>
      </w:r>
      <w:r>
        <w:rPr>
          <w:bCs/>
        </w:rPr>
        <w:t>освобождаются от государственной пошлины</w:t>
      </w:r>
      <w:r>
        <w:t> плательщики за повторное совершение юридически значимых действий, являющихся объектами обложения государственной пошлиной</w:t>
      </w:r>
      <w:r>
        <w:rPr>
          <w:bCs/>
        </w:rPr>
        <w:t>, в связи с допущенными при их совершении ошибками </w:t>
      </w:r>
      <w:r>
        <w:t>(в том числе неточностями в выданных (оформленных, переоформленных, удостоверенных, обменных)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roofErr w:type="gramEnd"/>
    </w:p>
    <w:p w:rsidR="009104DE" w:rsidRDefault="009104DE" w:rsidP="009104DE">
      <w:pPr>
        <w:pStyle w:val="underpoint"/>
      </w:pPr>
    </w:p>
    <w:p w:rsidR="00AC52A6" w:rsidRDefault="00AC52A6" w:rsidP="00AC52A6">
      <w:pPr>
        <w:pStyle w:val="ConsPlusNormal"/>
        <w:ind w:firstLine="540"/>
        <w:jc w:val="both"/>
        <w:rPr>
          <w:rFonts w:ascii="Times New Roman" w:hAnsi="Times New Roman" w:cs="Times New Roman"/>
          <w:sz w:val="24"/>
          <w:szCs w:val="24"/>
        </w:rPr>
      </w:pPr>
    </w:p>
    <w:p w:rsidR="00AC52A6" w:rsidRDefault="00AC52A6" w:rsidP="00AC52A6"/>
    <w:p w:rsidR="00AC52A6" w:rsidRDefault="00AC52A6" w:rsidP="00AC52A6">
      <w:pPr>
        <w:rPr>
          <w:b/>
        </w:rPr>
      </w:pPr>
      <w:r>
        <w:rPr>
          <w:b/>
        </w:rPr>
        <w:t>(извлечение)</w:t>
      </w:r>
    </w:p>
    <w:p w:rsidR="00AC52A6" w:rsidRDefault="00AC52A6" w:rsidP="00AC52A6">
      <w:pPr>
        <w:pStyle w:val="articlect"/>
      </w:pPr>
      <w:r>
        <w:t>Статья 258. Дополнительные основания для освобождения от государственной пошлины физических лиц, не осуществляющих предпринимательскую деятельность</w:t>
      </w:r>
    </w:p>
    <w:p w:rsidR="00AC52A6" w:rsidRDefault="00AC52A6" w:rsidP="00AC52A6">
      <w:pPr>
        <w:pStyle w:val="point"/>
      </w:pPr>
      <w:r>
        <w:t>1. 1. </w:t>
      </w:r>
      <w:proofErr w:type="gramStart"/>
      <w:r>
        <w:t>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по объектам обложения государственной пошлиной, не связанным с осуществлением предпринимательской деятельности, исходя из их имущественного положения.</w:t>
      </w:r>
      <w:proofErr w:type="gramEnd"/>
    </w:p>
    <w:p w:rsidR="00AC52A6" w:rsidRDefault="00AC52A6" w:rsidP="00AC52A6">
      <w:pPr>
        <w:pStyle w:val="point"/>
        <w:rPr>
          <w:lang w:val="en-US"/>
        </w:rPr>
      </w:pPr>
      <w:r>
        <w:t>…</w:t>
      </w:r>
    </w:p>
    <w:p w:rsidR="00E50719" w:rsidRDefault="00E50719"/>
    <w:sectPr w:rsidR="00E5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2A6"/>
    <w:rsid w:val="00235DF1"/>
    <w:rsid w:val="003973EC"/>
    <w:rsid w:val="003D2F41"/>
    <w:rsid w:val="007C1C72"/>
    <w:rsid w:val="009104DE"/>
    <w:rsid w:val="00913729"/>
    <w:rsid w:val="00AC52A6"/>
    <w:rsid w:val="00E50719"/>
    <w:rsid w:val="00F46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2A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p">
    <w:name w:val="titlep"/>
    <w:basedOn w:val="a"/>
    <w:rsid w:val="00AC52A6"/>
    <w:pPr>
      <w:spacing w:before="240" w:after="240"/>
      <w:jc w:val="center"/>
    </w:pPr>
    <w:rPr>
      <w:b/>
      <w:bCs/>
    </w:rPr>
  </w:style>
  <w:style w:type="paragraph" w:customStyle="1" w:styleId="table10">
    <w:name w:val="table10"/>
    <w:basedOn w:val="a"/>
    <w:rsid w:val="00AC52A6"/>
    <w:rPr>
      <w:sz w:val="20"/>
      <w:szCs w:val="20"/>
    </w:rPr>
  </w:style>
  <w:style w:type="paragraph" w:customStyle="1" w:styleId="append">
    <w:name w:val="append"/>
    <w:basedOn w:val="a"/>
    <w:rsid w:val="00AC52A6"/>
    <w:rPr>
      <w:sz w:val="22"/>
      <w:szCs w:val="22"/>
    </w:rPr>
  </w:style>
  <w:style w:type="paragraph" w:customStyle="1" w:styleId="append1">
    <w:name w:val="append1"/>
    <w:basedOn w:val="a"/>
    <w:rsid w:val="00AC52A6"/>
    <w:pPr>
      <w:spacing w:after="28"/>
    </w:pPr>
    <w:rPr>
      <w:sz w:val="22"/>
      <w:szCs w:val="22"/>
    </w:rPr>
  </w:style>
  <w:style w:type="paragraph" w:customStyle="1" w:styleId="newncpi">
    <w:name w:val="newncpi"/>
    <w:basedOn w:val="a"/>
    <w:rsid w:val="00AC52A6"/>
    <w:pPr>
      <w:ind w:firstLine="567"/>
      <w:jc w:val="both"/>
    </w:pPr>
  </w:style>
  <w:style w:type="paragraph" w:customStyle="1" w:styleId="point">
    <w:name w:val="point"/>
    <w:basedOn w:val="a"/>
    <w:rsid w:val="00AC52A6"/>
    <w:pPr>
      <w:ind w:firstLine="567"/>
      <w:jc w:val="both"/>
    </w:pPr>
  </w:style>
  <w:style w:type="paragraph" w:customStyle="1" w:styleId="articlect">
    <w:name w:val="articlect"/>
    <w:basedOn w:val="a"/>
    <w:rsid w:val="00AC52A6"/>
    <w:pPr>
      <w:spacing w:before="240" w:after="240"/>
      <w:jc w:val="center"/>
    </w:pPr>
    <w:rPr>
      <w:b/>
      <w:bCs/>
    </w:rPr>
  </w:style>
  <w:style w:type="paragraph" w:customStyle="1" w:styleId="titlek">
    <w:name w:val="titlek"/>
    <w:basedOn w:val="a"/>
    <w:rsid w:val="00AC52A6"/>
    <w:pPr>
      <w:spacing w:before="240" w:after="240"/>
      <w:jc w:val="center"/>
    </w:pPr>
    <w:rPr>
      <w:caps/>
    </w:rPr>
  </w:style>
  <w:style w:type="paragraph" w:customStyle="1" w:styleId="prinodobren">
    <w:name w:val="prinodobren"/>
    <w:basedOn w:val="a"/>
    <w:rsid w:val="00AC52A6"/>
    <w:pPr>
      <w:spacing w:before="240" w:after="240"/>
    </w:pPr>
    <w:rPr>
      <w:i/>
      <w:iCs/>
    </w:rPr>
  </w:style>
  <w:style w:type="paragraph" w:customStyle="1" w:styleId="ConsPlusNormal">
    <w:name w:val="ConsPlusNormal"/>
    <w:rsid w:val="00AC52A6"/>
    <w:pPr>
      <w:widowControl w:val="0"/>
      <w:autoSpaceDE w:val="0"/>
      <w:autoSpaceDN w:val="0"/>
      <w:adjustRightInd w:val="0"/>
    </w:pPr>
    <w:rPr>
      <w:rFonts w:ascii="Arial" w:hAnsi="Arial" w:cs="Arial"/>
    </w:rPr>
  </w:style>
  <w:style w:type="character" w:customStyle="1" w:styleId="datepr">
    <w:name w:val="datepr"/>
    <w:rsid w:val="00AC52A6"/>
    <w:rPr>
      <w:rFonts w:ascii="Times New Roman" w:hAnsi="Times New Roman" w:cs="Times New Roman" w:hint="default"/>
    </w:rPr>
  </w:style>
  <w:style w:type="character" w:customStyle="1" w:styleId="number">
    <w:name w:val="number"/>
    <w:rsid w:val="00AC52A6"/>
    <w:rPr>
      <w:rFonts w:ascii="Times New Roman" w:hAnsi="Times New Roman" w:cs="Times New Roman" w:hint="default"/>
    </w:rPr>
  </w:style>
  <w:style w:type="paragraph" w:customStyle="1" w:styleId="underpoint">
    <w:name w:val="underpoint"/>
    <w:basedOn w:val="a"/>
    <w:rsid w:val="00AC52A6"/>
    <w:pPr>
      <w:ind w:firstLine="567"/>
      <w:jc w:val="both"/>
    </w:pPr>
  </w:style>
</w:styles>
</file>

<file path=word/webSettings.xml><?xml version="1.0" encoding="utf-8"?>
<w:webSettings xmlns:r="http://schemas.openxmlformats.org/officeDocument/2006/relationships" xmlns:w="http://schemas.openxmlformats.org/wordprocessingml/2006/main">
  <w:divs>
    <w:div w:id="640043813">
      <w:bodyDiv w:val="1"/>
      <w:marLeft w:val="0"/>
      <w:marRight w:val="0"/>
      <w:marTop w:val="0"/>
      <w:marBottom w:val="0"/>
      <w:divBdr>
        <w:top w:val="none" w:sz="0" w:space="0" w:color="auto"/>
        <w:left w:val="none" w:sz="0" w:space="0" w:color="auto"/>
        <w:bottom w:val="none" w:sz="0" w:space="0" w:color="auto"/>
        <w:right w:val="none" w:sz="0" w:space="0" w:color="auto"/>
      </w:divBdr>
    </w:div>
    <w:div w:id="6534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Test</cp:lastModifiedBy>
  <cp:revision>2</cp:revision>
  <dcterms:created xsi:type="dcterms:W3CDTF">2017-07-13T09:24:00Z</dcterms:created>
  <dcterms:modified xsi:type="dcterms:W3CDTF">2017-07-13T09:24:00Z</dcterms:modified>
</cp:coreProperties>
</file>