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2E72" w14:textId="554EB494" w:rsidR="004A0D9D" w:rsidRDefault="004A0D9D" w:rsidP="00AB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</w:t>
      </w:r>
      <w:r w:rsidR="007B6952">
        <w:rPr>
          <w:rFonts w:ascii="Arial" w:hAnsi="Arial" w:cs="Arial"/>
          <w:b/>
          <w:bCs/>
          <w:color w:val="000000"/>
        </w:rPr>
        <w:t>етодические рекомендации по проведению анализа коррупционных рисков в организации</w:t>
      </w:r>
    </w:p>
    <w:p w14:paraId="4053BEE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0"/>
      <w:bookmarkEnd w:id="0"/>
      <w:r>
        <w:rPr>
          <w:rFonts w:ascii="Arial" w:hAnsi="Arial" w:cs="Arial"/>
          <w:color w:val="000000"/>
        </w:rPr>
        <w:t> </w:t>
      </w:r>
    </w:p>
    <w:p w14:paraId="67CE942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1" w:name="11"/>
      <w:bookmarkEnd w:id="1"/>
      <w:r>
        <w:rPr>
          <w:rFonts w:ascii="Arial" w:hAnsi="Arial" w:cs="Arial"/>
          <w:color w:val="000000"/>
        </w:rPr>
        <w:t>А.В.ИГНАТЕНКО,</w:t>
      </w:r>
    </w:p>
    <w:p w14:paraId="7B15A06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12"/>
      <w:bookmarkEnd w:id="2"/>
      <w:r>
        <w:rPr>
          <w:rFonts w:ascii="Arial" w:hAnsi="Arial" w:cs="Arial"/>
          <w:color w:val="000000"/>
        </w:rPr>
        <w:t>советник юстиции, старший прокурор управления</w:t>
      </w:r>
    </w:p>
    <w:p w14:paraId="2EEAD01B" w14:textId="77777777" w:rsidR="00660D0C" w:rsidRDefault="004A0D9D" w:rsidP="00660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13"/>
      <w:bookmarkEnd w:id="3"/>
      <w:r>
        <w:rPr>
          <w:rFonts w:ascii="Arial" w:hAnsi="Arial" w:cs="Arial"/>
          <w:color w:val="000000"/>
        </w:rPr>
        <w:t>Генеральной прокуратуры Республики Беларусь</w:t>
      </w:r>
      <w:r w:rsidR="00660D0C" w:rsidRPr="00660D0C">
        <w:rPr>
          <w:rFonts w:ascii="Arial" w:hAnsi="Arial" w:cs="Arial"/>
          <w:color w:val="000000"/>
        </w:rPr>
        <w:t xml:space="preserve"> </w:t>
      </w:r>
    </w:p>
    <w:p w14:paraId="71550F1D" w14:textId="5CFB474A" w:rsidR="00660D0C" w:rsidRDefault="00660D0C" w:rsidP="00660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Актуально на 26.04.2023</w:t>
      </w:r>
    </w:p>
    <w:p w14:paraId="07B6CD1C" w14:textId="6731AD64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AE768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413"/>
      <w:bookmarkEnd w:id="4"/>
      <w:r>
        <w:rPr>
          <w:rFonts w:ascii="Arial" w:hAnsi="Arial" w:cs="Arial"/>
          <w:color w:val="000000"/>
        </w:rPr>
        <w:t> </w:t>
      </w:r>
    </w:p>
    <w:p w14:paraId="356D5D3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414"/>
      <w:bookmarkStart w:id="6" w:name="437"/>
      <w:bookmarkEnd w:id="5"/>
      <w:bookmarkEnd w:id="6"/>
      <w:r>
        <w:rPr>
          <w:rFonts w:ascii="Arial" w:hAnsi="Arial" w:cs="Arial"/>
          <w:color w:val="000000"/>
        </w:rPr>
        <w:t> </w:t>
      </w:r>
    </w:p>
    <w:p w14:paraId="3F9DDEC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" w:name="438"/>
      <w:bookmarkEnd w:id="7"/>
      <w:r>
        <w:rPr>
          <w:rFonts w:ascii="Arial" w:hAnsi="Arial" w:cs="Arial"/>
          <w:i/>
          <w:iCs/>
          <w:color w:val="000000"/>
        </w:rPr>
        <w:t>Данные методические рекомендации нацелены на обеспечение качества, полноты и единого подхода при выявлении и устранении коррупционных рисков в государственных органах, учреждениях и иных организациях, в том числе некоммерческих, любой формы собственности (далее - организация).</w:t>
      </w:r>
    </w:p>
    <w:p w14:paraId="26790D7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" w:name="14"/>
      <w:bookmarkEnd w:id="8"/>
      <w:r>
        <w:rPr>
          <w:rFonts w:ascii="Arial" w:hAnsi="Arial" w:cs="Arial"/>
          <w:color w:val="000000"/>
        </w:rPr>
        <w:t> </w:t>
      </w:r>
    </w:p>
    <w:p w14:paraId="0D05F0B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" w:name="16"/>
      <w:bookmarkEnd w:id="9"/>
      <w:r>
        <w:rPr>
          <w:rFonts w:ascii="Arial" w:hAnsi="Arial" w:cs="Arial"/>
          <w:b/>
          <w:bCs/>
          <w:color w:val="000000"/>
        </w:rPr>
        <w:t>1. Общие положения</w:t>
      </w:r>
    </w:p>
    <w:p w14:paraId="37F03A3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0" w:name="17"/>
      <w:bookmarkEnd w:id="10"/>
      <w:r>
        <w:rPr>
          <w:rFonts w:ascii="Arial" w:hAnsi="Arial" w:cs="Arial"/>
          <w:color w:val="000000"/>
        </w:rPr>
        <w:t> </w:t>
      </w:r>
    </w:p>
    <w:p w14:paraId="15F6A12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8"/>
      <w:bookmarkEnd w:id="11"/>
      <w:r>
        <w:rPr>
          <w:rFonts w:ascii="Arial" w:hAnsi="Arial" w:cs="Arial"/>
          <w:color w:val="000000"/>
        </w:rPr>
        <w:t>При проведении анализа коррупционных рисков необходимо руководствоваться:</w:t>
      </w:r>
    </w:p>
    <w:p w14:paraId="319240F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9"/>
      <w:bookmarkEnd w:id="12"/>
      <w:r>
        <w:rPr>
          <w:rFonts w:ascii="Arial" w:hAnsi="Arial" w:cs="Arial"/>
          <w:color w:val="000000"/>
        </w:rPr>
        <w:t>1) Конституцией;</w:t>
      </w:r>
    </w:p>
    <w:p w14:paraId="52D2589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0"/>
      <w:bookmarkEnd w:id="13"/>
      <w:r>
        <w:rPr>
          <w:rFonts w:ascii="Arial" w:hAnsi="Arial" w:cs="Arial"/>
          <w:color w:val="000000"/>
        </w:rPr>
        <w:t>2) Законом о борьбе коррупцией;</w:t>
      </w:r>
    </w:p>
    <w:p w14:paraId="6A9D2FB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1"/>
      <w:bookmarkEnd w:id="14"/>
      <w:r>
        <w:rPr>
          <w:rFonts w:ascii="Arial" w:hAnsi="Arial" w:cs="Arial"/>
          <w:color w:val="000000"/>
        </w:rPr>
        <w:t>3) иными правовыми актами.</w:t>
      </w:r>
    </w:p>
    <w:p w14:paraId="2B3C1BF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2"/>
      <w:bookmarkEnd w:id="15"/>
      <w:r>
        <w:rPr>
          <w:rFonts w:ascii="Arial" w:hAnsi="Arial" w:cs="Arial"/>
          <w:color w:val="000000"/>
        </w:rPr>
        <w:t>Анализ коррупционных рисков рекомендуется проводить не реже одного раза в два года в зависимости от того, насколько динамичным является применимое законодательство и внедренные производственные процессы.</w:t>
      </w:r>
    </w:p>
    <w:p w14:paraId="3C093A6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23"/>
      <w:bookmarkEnd w:id="16"/>
      <w:r>
        <w:rPr>
          <w:rFonts w:ascii="Arial" w:hAnsi="Arial" w:cs="Arial"/>
          <w:color w:val="000000"/>
        </w:rPr>
        <w:t>В случае системных проявлений коррупции по решению руководителя организации анализ коррупционных рисков стоит проводить ранее указанного срока.</w:t>
      </w:r>
    </w:p>
    <w:p w14:paraId="491173C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" w:name="24"/>
      <w:bookmarkEnd w:id="17"/>
      <w:r>
        <w:rPr>
          <w:rFonts w:ascii="Arial" w:hAnsi="Arial" w:cs="Arial"/>
          <w:color w:val="000000"/>
        </w:rPr>
        <w:t> </w:t>
      </w:r>
    </w:p>
    <w:p w14:paraId="3D94742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" w:name="25"/>
      <w:bookmarkEnd w:id="18"/>
      <w:r>
        <w:rPr>
          <w:rFonts w:ascii="Arial" w:hAnsi="Arial" w:cs="Arial"/>
          <w:b/>
          <w:bCs/>
          <w:color w:val="000000"/>
        </w:rPr>
        <w:t>2. Подготовка к проведению анализа коррупционных рисков</w:t>
      </w:r>
    </w:p>
    <w:p w14:paraId="0338357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" w:name="416"/>
      <w:bookmarkEnd w:id="19"/>
      <w:r>
        <w:rPr>
          <w:rFonts w:ascii="Arial" w:hAnsi="Arial" w:cs="Arial"/>
          <w:color w:val="000000"/>
        </w:rPr>
        <w:t> </w:t>
      </w:r>
    </w:p>
    <w:p w14:paraId="1E66D18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6"/>
      <w:bookmarkEnd w:id="20"/>
      <w:r>
        <w:rPr>
          <w:rFonts w:ascii="Arial" w:hAnsi="Arial" w:cs="Arial"/>
          <w:color w:val="000000"/>
        </w:rPr>
        <w:t>Подготовка к проведению анализа коррупционных рисков включает определение:</w:t>
      </w:r>
    </w:p>
    <w:p w14:paraId="6981A2C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7"/>
      <w:bookmarkEnd w:id="21"/>
      <w:r>
        <w:rPr>
          <w:rFonts w:ascii="Arial" w:hAnsi="Arial" w:cs="Arial"/>
          <w:color w:val="000000"/>
        </w:rPr>
        <w:t>1) объекта анализа;</w:t>
      </w:r>
    </w:p>
    <w:p w14:paraId="2D4DAE1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8"/>
      <w:bookmarkEnd w:id="22"/>
      <w:r>
        <w:rPr>
          <w:rFonts w:ascii="Arial" w:hAnsi="Arial" w:cs="Arial"/>
          <w:color w:val="000000"/>
        </w:rPr>
        <w:t>2) лица или подразделения, ответственного за проведение анализа (далее - уполномоченное лицо), или же состава и руководителя рабочей группы, ответственных за его проведение (далее - рабочая группа);</w:t>
      </w:r>
    </w:p>
    <w:p w14:paraId="181D6CD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9"/>
      <w:bookmarkEnd w:id="23"/>
      <w:r>
        <w:rPr>
          <w:rFonts w:ascii="Arial" w:hAnsi="Arial" w:cs="Arial"/>
          <w:color w:val="000000"/>
        </w:rPr>
        <w:t>3) иных лиц, привлекаемых к проведению анализа;</w:t>
      </w:r>
    </w:p>
    <w:p w14:paraId="3BE674C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0"/>
      <w:bookmarkEnd w:id="24"/>
      <w:r>
        <w:rPr>
          <w:rFonts w:ascii="Arial" w:hAnsi="Arial" w:cs="Arial"/>
          <w:color w:val="000000"/>
        </w:rPr>
        <w:t>4) сроков проведения анализа;</w:t>
      </w:r>
    </w:p>
    <w:p w14:paraId="131B31B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1"/>
      <w:bookmarkEnd w:id="25"/>
      <w:r>
        <w:rPr>
          <w:rFonts w:ascii="Arial" w:hAnsi="Arial" w:cs="Arial"/>
          <w:color w:val="000000"/>
        </w:rPr>
        <w:t>5) лиц, ответственных за сбор и предоставление уполномоченному лицу (рабочей группе) источников информации для проведения анализа;</w:t>
      </w:r>
    </w:p>
    <w:p w14:paraId="154E11A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2"/>
      <w:bookmarkEnd w:id="26"/>
      <w:r>
        <w:rPr>
          <w:rFonts w:ascii="Arial" w:hAnsi="Arial" w:cs="Arial"/>
          <w:color w:val="000000"/>
        </w:rPr>
        <w:t>6) сроков предоставления уполномоченному лицу (рабочей группе) источников информации;</w:t>
      </w:r>
    </w:p>
    <w:p w14:paraId="6F079F3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3"/>
      <w:bookmarkEnd w:id="27"/>
      <w:r>
        <w:rPr>
          <w:rFonts w:ascii="Arial" w:hAnsi="Arial" w:cs="Arial"/>
          <w:color w:val="000000"/>
        </w:rPr>
        <w:t>7) иных организационных вопросов.</w:t>
      </w:r>
    </w:p>
    <w:p w14:paraId="1273C44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4"/>
      <w:bookmarkEnd w:id="28"/>
      <w:r>
        <w:rPr>
          <w:rFonts w:ascii="Arial" w:hAnsi="Arial" w:cs="Arial"/>
          <w:color w:val="000000"/>
        </w:rPr>
        <w:t>В случае проведения анализа в государственном органе или организации, обладающих сложной организационной структурой (например, имеющих департаменты, филиалы или дочерние компании), целесообразно составить график с указанием объектов анализа и конкретных сроков его проведения в каждом из структурных подразделений. При этом руководству государственного органа, организации (вышестоящей организации) надлежит обеспечить сбор результатов анализа по каждому объекту и их обобщение по всей системе ведомства, организации в целом.</w:t>
      </w:r>
    </w:p>
    <w:p w14:paraId="7E3D430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6"/>
      <w:bookmarkEnd w:id="29"/>
      <w:r>
        <w:rPr>
          <w:rFonts w:ascii="Arial" w:hAnsi="Arial" w:cs="Arial"/>
          <w:color w:val="000000"/>
        </w:rPr>
        <w:t>В случае принятия руководителем подразделения (департамента, филиала, дочерней компании) самостоятельного решения о проведении анализа коррупционных рисков информация о принятии такого решения, а также результаты анализа направляются руководству государственного органа, организации (вышестоящей организации).</w:t>
      </w:r>
    </w:p>
    <w:p w14:paraId="0F41A46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7"/>
      <w:bookmarkEnd w:id="30"/>
      <w:r>
        <w:rPr>
          <w:rFonts w:ascii="Arial" w:hAnsi="Arial" w:cs="Arial"/>
          <w:color w:val="000000"/>
        </w:rPr>
        <w:t>В государственных органах уполномоченное лицо рекомендуется определять из числа работников или подразделений, не реализующих функции организационно-управленческой деятельности и находящихся в непосредственном подчинении руководителя государственного органа.</w:t>
      </w:r>
    </w:p>
    <w:p w14:paraId="644D189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8"/>
      <w:bookmarkEnd w:id="31"/>
      <w:r>
        <w:rPr>
          <w:rFonts w:ascii="Arial" w:hAnsi="Arial" w:cs="Arial"/>
          <w:color w:val="000000"/>
        </w:rPr>
        <w:t xml:space="preserve"> В иных организациях уполномоченное лицо рекомендуется определять из числа работников структурных подразделений, исполняющих функции антикоррупционных комплаенс-служб, а в случае их отсутствия - из числа сотрудников службы безопасности или контрольно-ревизионного подразделения.</w:t>
      </w:r>
    </w:p>
    <w:p w14:paraId="7CB5983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9"/>
      <w:bookmarkEnd w:id="32"/>
      <w:r>
        <w:rPr>
          <w:rFonts w:ascii="Arial" w:hAnsi="Arial" w:cs="Arial"/>
          <w:color w:val="000000"/>
        </w:rPr>
        <w:t xml:space="preserve"> В зависимости от количества и сложности реализуемых объектом анализа функций, а также его штатной численности для проведения анализа коррупционных рисков может формироваться рабочая группа. В рабочую группу рекомендуется включать наиболее опытных работников структурных подразделений объекта анализа (имеющих </w:t>
      </w:r>
      <w:r>
        <w:rPr>
          <w:rFonts w:ascii="Arial" w:hAnsi="Arial" w:cs="Arial"/>
          <w:color w:val="000000"/>
        </w:rPr>
        <w:lastRenderedPageBreak/>
        <w:t>аналитические способности, практический опыт применения отраслевого законодательства, реализации функций организационно-управленческой деятельности), представителей общественности и иных экспертов. Состав представителей общественности рекомендуется формировать их числа внешних экспертов, научного сообщества, некоммерческих организаций, бизнес-сообществ и т.д.</w:t>
      </w:r>
    </w:p>
    <w:p w14:paraId="5D9D991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42"/>
      <w:bookmarkEnd w:id="33"/>
      <w:r>
        <w:rPr>
          <w:rFonts w:ascii="Arial" w:hAnsi="Arial" w:cs="Arial"/>
          <w:color w:val="000000"/>
        </w:rPr>
        <w:t>Срок анализа коррупционных рисков рекомендуется устанавливать в пределах, не превышающих 30 рабочих дней. При необходимости этот срок рекомендуется продлевать на 15 рабочих дней.</w:t>
      </w:r>
    </w:p>
    <w:p w14:paraId="02073E8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43"/>
      <w:bookmarkEnd w:id="34"/>
      <w:r>
        <w:rPr>
          <w:rFonts w:ascii="Arial" w:hAnsi="Arial" w:cs="Arial"/>
          <w:color w:val="000000"/>
        </w:rPr>
        <w:t>В целях соблюдения сроков, установленных в решении руководителя государственного органа, организации, рекомендуется разработать план мероприятий по проведению анализа коррупционных рисков (приложение 1). Данный план должен предусматривать виды работ, сроки их выполнения и ответственных лиц.</w:t>
      </w:r>
    </w:p>
    <w:p w14:paraId="6AF7AB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5"/>
      <w:bookmarkEnd w:id="35"/>
      <w:r>
        <w:rPr>
          <w:rFonts w:ascii="Arial" w:hAnsi="Arial" w:cs="Arial"/>
          <w:color w:val="000000"/>
        </w:rPr>
        <w:t>В случае необходимости уполномоченное лицо и (или) члены рабочей группы могут выезжать в места нахождения подразделений объекта анализа для изучения практики применения отраслевого законодательства и реализации функций организационно-управленческой деятельности.</w:t>
      </w:r>
    </w:p>
    <w:p w14:paraId="3A82AAE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6" w:name="46"/>
      <w:bookmarkEnd w:id="36"/>
      <w:r>
        <w:rPr>
          <w:rFonts w:ascii="Arial" w:hAnsi="Arial" w:cs="Arial"/>
          <w:color w:val="000000"/>
        </w:rPr>
        <w:t> </w:t>
      </w:r>
    </w:p>
    <w:p w14:paraId="41E3253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7" w:name="47"/>
      <w:bookmarkEnd w:id="37"/>
      <w:r>
        <w:rPr>
          <w:rFonts w:ascii="Arial" w:hAnsi="Arial" w:cs="Arial"/>
          <w:b/>
          <w:bCs/>
          <w:color w:val="000000"/>
        </w:rPr>
        <w:t>3. Проведение внутреннего анализа коррупционных рисков</w:t>
      </w:r>
    </w:p>
    <w:p w14:paraId="4217FC9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38" w:name="417"/>
      <w:bookmarkEnd w:id="38"/>
      <w:r>
        <w:rPr>
          <w:rFonts w:ascii="Arial" w:hAnsi="Arial" w:cs="Arial"/>
          <w:color w:val="000000"/>
        </w:rPr>
        <w:t> </w:t>
      </w:r>
    </w:p>
    <w:p w14:paraId="2D41CA2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8"/>
      <w:bookmarkEnd w:id="39"/>
      <w:r>
        <w:rPr>
          <w:rFonts w:ascii="Arial" w:hAnsi="Arial" w:cs="Arial"/>
          <w:b/>
          <w:bCs/>
          <w:color w:val="000000"/>
        </w:rPr>
        <w:t>Этапы проведения анализа коррупционных рисков</w:t>
      </w:r>
      <w:r>
        <w:rPr>
          <w:rFonts w:ascii="Arial" w:hAnsi="Arial" w:cs="Arial"/>
          <w:color w:val="000000"/>
        </w:rPr>
        <w:t>:</w:t>
      </w:r>
    </w:p>
    <w:p w14:paraId="4FF514D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9"/>
      <w:bookmarkEnd w:id="40"/>
      <w:r>
        <w:rPr>
          <w:rFonts w:ascii="Arial" w:hAnsi="Arial" w:cs="Arial"/>
          <w:color w:val="000000"/>
        </w:rPr>
        <w:t>1) сбор и обобщение информации об объекте анализа;</w:t>
      </w:r>
    </w:p>
    <w:p w14:paraId="082D00F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50"/>
      <w:bookmarkEnd w:id="41"/>
      <w:r>
        <w:rPr>
          <w:rFonts w:ascii="Arial" w:hAnsi="Arial" w:cs="Arial"/>
          <w:color w:val="000000"/>
        </w:rPr>
        <w:t>2) анализ правовых актов; внутренних документов, регулирующих деятельность объекта анализа; его организационно-управленческой деятельности на наличие коррупционных рисков;</w:t>
      </w:r>
    </w:p>
    <w:p w14:paraId="418B49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51"/>
      <w:bookmarkEnd w:id="42"/>
      <w:r>
        <w:rPr>
          <w:rFonts w:ascii="Arial" w:hAnsi="Arial" w:cs="Arial"/>
          <w:color w:val="000000"/>
        </w:rPr>
        <w:t>3) подготовка и подписание аналитической справки.</w:t>
      </w:r>
    </w:p>
    <w:p w14:paraId="1785A1D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3" w:name="52"/>
      <w:bookmarkEnd w:id="43"/>
      <w:r>
        <w:rPr>
          <w:rFonts w:ascii="Arial" w:hAnsi="Arial" w:cs="Arial"/>
          <w:color w:val="000000"/>
        </w:rPr>
        <w:t> </w:t>
      </w:r>
    </w:p>
    <w:p w14:paraId="7C9FB36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4" w:name="53"/>
      <w:bookmarkEnd w:id="44"/>
      <w:r>
        <w:rPr>
          <w:rFonts w:ascii="Arial" w:hAnsi="Arial" w:cs="Arial"/>
          <w:b/>
          <w:bCs/>
          <w:color w:val="000000"/>
        </w:rPr>
        <w:t>3.1. Сбор и обобщение информации об объекте анализа</w:t>
      </w:r>
    </w:p>
    <w:p w14:paraId="15B1D2D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5" w:name="418"/>
      <w:bookmarkEnd w:id="45"/>
      <w:r>
        <w:rPr>
          <w:rFonts w:ascii="Arial" w:hAnsi="Arial" w:cs="Arial"/>
          <w:color w:val="000000"/>
        </w:rPr>
        <w:t> </w:t>
      </w:r>
    </w:p>
    <w:p w14:paraId="61F1DE3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4"/>
      <w:bookmarkEnd w:id="46"/>
      <w:r>
        <w:rPr>
          <w:rFonts w:ascii="Arial" w:hAnsi="Arial" w:cs="Arial"/>
          <w:color w:val="000000"/>
        </w:rPr>
        <w:t>Источники информации для проведения анализа коррупционных рисков:</w:t>
      </w:r>
    </w:p>
    <w:p w14:paraId="16E6BD9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5"/>
      <w:bookmarkEnd w:id="47"/>
      <w:r>
        <w:rPr>
          <w:rFonts w:ascii="Arial" w:hAnsi="Arial" w:cs="Arial"/>
          <w:color w:val="000000"/>
        </w:rPr>
        <w:t>1) правовые акты и внутренние документы, регулирующие деятельность объекта анализа;</w:t>
      </w:r>
    </w:p>
    <w:p w14:paraId="2D04535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6"/>
      <w:bookmarkEnd w:id="48"/>
      <w:r>
        <w:rPr>
          <w:rFonts w:ascii="Arial" w:hAnsi="Arial" w:cs="Arial"/>
          <w:color w:val="000000"/>
        </w:rPr>
        <w:t>2) статистическая отчетность о деятельности объекта анализа;</w:t>
      </w:r>
    </w:p>
    <w:p w14:paraId="19FE631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7"/>
      <w:bookmarkEnd w:id="49"/>
      <w:r>
        <w:rPr>
          <w:rFonts w:ascii="Arial" w:hAnsi="Arial" w:cs="Arial"/>
          <w:color w:val="000000"/>
        </w:rPr>
        <w:t>3) материалы комиссии по противодействию коррупции в случае ее создания в государственном органе (организации);</w:t>
      </w:r>
    </w:p>
    <w:p w14:paraId="4F2C101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8"/>
      <w:bookmarkEnd w:id="50"/>
      <w:r>
        <w:rPr>
          <w:rFonts w:ascii="Arial" w:hAnsi="Arial" w:cs="Arial"/>
          <w:color w:val="000000"/>
        </w:rPr>
        <w:t>4) данные информационных систем государственных и правоохранительных органов о деятельности объекта анализа, полученные в порядке, установленном законодательством Республики Беларусь;</w:t>
      </w:r>
    </w:p>
    <w:p w14:paraId="68723F0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9"/>
      <w:bookmarkEnd w:id="51"/>
      <w:r>
        <w:rPr>
          <w:rFonts w:ascii="Arial" w:hAnsi="Arial" w:cs="Arial"/>
          <w:color w:val="000000"/>
        </w:rPr>
        <w:t>5) результаты проверок объекта анализа, ранее проведенных государственными органами;</w:t>
      </w:r>
    </w:p>
    <w:p w14:paraId="01E91FB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60"/>
      <w:bookmarkEnd w:id="52"/>
      <w:r>
        <w:rPr>
          <w:rFonts w:ascii="Arial" w:hAnsi="Arial" w:cs="Arial"/>
          <w:color w:val="000000"/>
        </w:rPr>
        <w:t>6) результаты мероприятий служб внутреннего контроля, инвентаризаций;</w:t>
      </w:r>
    </w:p>
    <w:p w14:paraId="6771F14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61"/>
      <w:bookmarkEnd w:id="53"/>
      <w:r>
        <w:rPr>
          <w:rFonts w:ascii="Arial" w:hAnsi="Arial" w:cs="Arial"/>
          <w:color w:val="000000"/>
        </w:rPr>
        <w:t>7) публикации в средствах массовой информации;</w:t>
      </w:r>
    </w:p>
    <w:p w14:paraId="194286D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62"/>
      <w:bookmarkEnd w:id="54"/>
      <w:r>
        <w:rPr>
          <w:rFonts w:ascii="Arial" w:hAnsi="Arial" w:cs="Arial"/>
          <w:color w:val="000000"/>
        </w:rPr>
        <w:t>8) обращения физических и юридических лиц в отношении объекта анализа;</w:t>
      </w:r>
    </w:p>
    <w:p w14:paraId="283CBB1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63"/>
      <w:bookmarkEnd w:id="55"/>
      <w:r>
        <w:rPr>
          <w:rFonts w:ascii="Arial" w:hAnsi="Arial" w:cs="Arial"/>
          <w:color w:val="000000"/>
        </w:rPr>
        <w:t>9) сведения о привлечении к ответственности должностных лиц объекта анализа за совершение коррупционных правонарушений, в том числе представления об устранении нарушений законодательства, способствующих им причин и условий (например, представления, вносимые органами прокуратуры в соответствии со ст. 27 и 38 Закона о прокуратуре или органами уголовного преследования в соответствии со ст. 199 УПК);</w:t>
      </w:r>
    </w:p>
    <w:p w14:paraId="3CE2C71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64"/>
      <w:bookmarkEnd w:id="56"/>
      <w:r>
        <w:rPr>
          <w:rFonts w:ascii="Arial" w:hAnsi="Arial" w:cs="Arial"/>
          <w:color w:val="000000"/>
        </w:rPr>
        <w:t>10) решения судов в отношении объекта анализа и его работников;</w:t>
      </w:r>
    </w:p>
    <w:p w14:paraId="62FC6D6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5"/>
      <w:bookmarkEnd w:id="57"/>
      <w:r>
        <w:rPr>
          <w:rFonts w:ascii="Arial" w:hAnsi="Arial" w:cs="Arial"/>
          <w:color w:val="000000"/>
        </w:rPr>
        <w:t>11) результаты ранее проведенного анализа коррупционных рисков;</w:t>
      </w:r>
    </w:p>
    <w:p w14:paraId="08FD330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6"/>
      <w:bookmarkEnd w:id="58"/>
      <w:r>
        <w:rPr>
          <w:rFonts w:ascii="Arial" w:hAnsi="Arial" w:cs="Arial"/>
          <w:color w:val="000000"/>
        </w:rPr>
        <w:t>12) результаты опроса служащих, работников объекта анализа;</w:t>
      </w:r>
    </w:p>
    <w:p w14:paraId="749A5E2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7"/>
      <w:bookmarkEnd w:id="59"/>
      <w:r>
        <w:rPr>
          <w:rFonts w:ascii="Arial" w:hAnsi="Arial" w:cs="Arial"/>
          <w:color w:val="000000"/>
        </w:rPr>
        <w:t>13) иные сведения, представление которых не запрещено законодательством Республики Беларусь.</w:t>
      </w:r>
    </w:p>
    <w:p w14:paraId="611A6E6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8"/>
      <w:bookmarkEnd w:id="60"/>
      <w:r>
        <w:rPr>
          <w:rFonts w:ascii="Arial" w:hAnsi="Arial" w:cs="Arial"/>
          <w:color w:val="000000"/>
        </w:rPr>
        <w:t>Для сбора и обобщения рекомендуется использовать информацию о деятельности объекта анализа, в том числе отчетные данные и другую статистику за два года, предшествующие анализу коррупционных рисков.</w:t>
      </w:r>
    </w:p>
    <w:p w14:paraId="4E0B6CC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9"/>
      <w:bookmarkEnd w:id="61"/>
      <w:r>
        <w:rPr>
          <w:rFonts w:ascii="Arial" w:hAnsi="Arial" w:cs="Arial"/>
          <w:color w:val="000000"/>
        </w:rPr>
        <w:t>Источники информации должны быть достоверными и актуальными.</w:t>
      </w:r>
    </w:p>
    <w:p w14:paraId="275890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70"/>
      <w:bookmarkEnd w:id="62"/>
      <w:r>
        <w:rPr>
          <w:rFonts w:ascii="Arial" w:hAnsi="Arial" w:cs="Arial"/>
          <w:color w:val="000000"/>
        </w:rPr>
        <w:t xml:space="preserve">При соблюдении установленных законодательством условий (в частности, </w:t>
      </w:r>
      <w:r>
        <w:rPr>
          <w:rFonts w:ascii="Arial" w:hAnsi="Arial" w:cs="Arial"/>
          <w:color w:val="000000"/>
        </w:rPr>
        <w:lastRenderedPageBreak/>
        <w:t>предусмотренных гл. 16 Положения о порядке функционирования единой государственной системы регистрации и учета правонарушений) отдельные значимые сведения могут быть получены из Единой государственной системы регистрации и учета правонарушений.</w:t>
      </w:r>
    </w:p>
    <w:p w14:paraId="0BA269B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71"/>
      <w:bookmarkEnd w:id="63"/>
      <w:r>
        <w:rPr>
          <w:rFonts w:ascii="Arial" w:hAnsi="Arial" w:cs="Arial"/>
          <w:color w:val="000000"/>
        </w:rPr>
        <w:t>Сбор и предоставление уполномоченному лицу и членам рабочей группы источников информации, не находящихся в открытом доступе, осуществляется структурными подразделениями объекта анализа, которые владеют данной информацией.</w:t>
      </w:r>
    </w:p>
    <w:p w14:paraId="70BEB7D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72"/>
      <w:bookmarkEnd w:id="64"/>
      <w:r>
        <w:rPr>
          <w:rFonts w:ascii="Arial" w:hAnsi="Arial" w:cs="Arial"/>
          <w:color w:val="000000"/>
        </w:rPr>
        <w:t>Организации при проведении анализа коррупционных рисков в деятельности вновь образованного в результате реорганизации государственного органа необходимо осуществить сбор информации о деятельности ранее действовавшего государственного органа, организации в части переданных им функций.</w:t>
      </w:r>
    </w:p>
    <w:p w14:paraId="5F9ED66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73"/>
      <w:bookmarkEnd w:id="65"/>
      <w:r>
        <w:rPr>
          <w:rFonts w:ascii="Arial" w:hAnsi="Arial" w:cs="Arial"/>
          <w:color w:val="000000"/>
        </w:rPr>
        <w:t>Для выявления коррупционных рисков и выработки рекомендаций могут применяться различные методы анализа (таблица 1), в том числе сбор и изучение информации, имеющейся в объекте анализа; использование опыта и познаний работников объекта анализа и иных экспертов; сбор и обобщение опыта по противодействию коррупции в схожих или смежных сферах, организациях, бизнес-процессах, проектах; анализ сценариев и т.д.</w:t>
      </w:r>
    </w:p>
    <w:p w14:paraId="6B94AC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66" w:name="458"/>
      <w:bookmarkEnd w:id="66"/>
      <w:r>
        <w:rPr>
          <w:rFonts w:ascii="Arial" w:hAnsi="Arial" w:cs="Arial"/>
          <w:color w:val="000000"/>
        </w:rPr>
        <w:t> </w:t>
      </w:r>
    </w:p>
    <w:p w14:paraId="41B2231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1200"/>
        <w:jc w:val="right"/>
        <w:rPr>
          <w:rFonts w:ascii="Arial" w:hAnsi="Arial" w:cs="Arial"/>
          <w:color w:val="000000"/>
        </w:rPr>
      </w:pPr>
      <w:bookmarkStart w:id="67" w:name="448"/>
      <w:bookmarkEnd w:id="67"/>
      <w:r>
        <w:rPr>
          <w:rFonts w:ascii="Arial" w:hAnsi="Arial" w:cs="Arial"/>
          <w:color w:val="000000"/>
        </w:rPr>
        <w:t>Таблица 1</w:t>
      </w:r>
    </w:p>
    <w:p w14:paraId="69F9486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" w:name="74"/>
      <w:bookmarkEnd w:id="6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A0D9D" w:rsidRPr="003949D2" w14:paraId="5430D6EF" w14:textId="77777777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C6F5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 анализа коррупционных рисков</w:t>
            </w:r>
          </w:p>
        </w:tc>
        <w:tc>
          <w:tcPr>
            <w:tcW w:w="4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82C1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Возможные источники информации</w:t>
            </w:r>
          </w:p>
        </w:tc>
      </w:tr>
      <w:tr w:rsidR="004A0D9D" w:rsidRPr="003949D2" w14:paraId="731FC51E" w14:textId="77777777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2617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Сбор и изучение информации, имеющейся у объекта анализа, с учетом:</w:t>
            </w:r>
          </w:p>
          <w:p w14:paraId="06521FD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- уровня коррупции в объекте анализа;</w:t>
            </w:r>
          </w:p>
          <w:p w14:paraId="179C870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- используемых контрольных, превентивных механизмов или обучающих программ;</w:t>
            </w:r>
          </w:p>
          <w:p w14:paraId="6AF3C33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- эффективности данных механизмов и программ;</w:t>
            </w:r>
          </w:p>
          <w:p w14:paraId="249437D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- надлежащего выполнения установленных требований</w:t>
            </w:r>
          </w:p>
        </w:tc>
        <w:tc>
          <w:tcPr>
            <w:tcW w:w="4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F3BD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1. Результаты внутренних и внешних проверок, расследований и аудитов.</w:t>
            </w:r>
          </w:p>
          <w:p w14:paraId="6017E0A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2. Решения судов в отношении объектов анализа и его работников.</w:t>
            </w:r>
          </w:p>
          <w:p w14:paraId="0F11507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3. Дисциплинарные и иные меры в отношении работников объекта анализа.</w:t>
            </w:r>
          </w:p>
          <w:p w14:paraId="2647AB4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4. Жалобы на действия работников объекта анализа и иная обратная связь.</w:t>
            </w:r>
          </w:p>
          <w:p w14:paraId="2681E34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5. Публикации в средствах массовой информации.</w:t>
            </w:r>
          </w:p>
          <w:p w14:paraId="5FF8447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6. Правовые акты и иные документы, регулирующие механизмы контроля рисков коррупции.</w:t>
            </w:r>
          </w:p>
          <w:p w14:paraId="5267CC9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7. Иная информация</w:t>
            </w:r>
          </w:p>
        </w:tc>
      </w:tr>
      <w:tr w:rsidR="004A0D9D" w:rsidRPr="003949D2" w14:paraId="7E317EAE" w14:textId="77777777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A061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опыта и познаний работников объекта анализа и иных экспертов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7588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1. Собеседования, интервью.</w:t>
            </w:r>
          </w:p>
          <w:p w14:paraId="0F7BD5D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2. Опросы, анкетирование.</w:t>
            </w:r>
          </w:p>
          <w:p w14:paraId="1CC64AD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3. Обсуждение в фокус-группах</w:t>
            </w:r>
          </w:p>
        </w:tc>
      </w:tr>
      <w:tr w:rsidR="004A0D9D" w:rsidRPr="003949D2" w14:paraId="0B61CFAC" w14:textId="77777777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5C6F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Сбор и обобщение опыта противодействия коррупции в схожих или смежных сферах, организациях, проектах, бизнес-процессах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F691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1. Отчеты, находящиеся в открытом доступе.</w:t>
            </w:r>
          </w:p>
          <w:p w14:paraId="12AEA1D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2. Изучение интернет-ресурсов, прямые консультации.</w:t>
            </w:r>
          </w:p>
          <w:p w14:paraId="5084A2A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3. Исследования, отчеты</w:t>
            </w:r>
          </w:p>
        </w:tc>
      </w:tr>
      <w:tr w:rsidR="004A0D9D" w:rsidRPr="003949D2" w14:paraId="52D4D648" w14:textId="77777777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8A08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Анализ "что если" или иной метод обсуждения возможных сценариев при возникновении определенных рисков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3008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1. Мозговой штурм.</w:t>
            </w:r>
          </w:p>
          <w:p w14:paraId="19974E2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2. Обсуждение в фокус-группах.</w:t>
            </w:r>
          </w:p>
          <w:p w14:paraId="5C9ECAB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3. Формирование специализированных рабочих групп по отдельным направлениям деятельности объекта анализа</w:t>
            </w:r>
          </w:p>
        </w:tc>
      </w:tr>
      <w:tr w:rsidR="004A0D9D" w:rsidRPr="003949D2" w14:paraId="4EBC265A" w14:textId="77777777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D5A4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Моделирование ситуации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D32A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D2">
              <w:rPr>
                <w:rFonts w:ascii="Arial" w:hAnsi="Arial" w:cs="Arial"/>
                <w:color w:val="000000"/>
                <w:sz w:val="20"/>
                <w:szCs w:val="20"/>
              </w:rPr>
              <w:t>Практическая апробация процедур оказания государственных услуг либо выполнение функций, связанных с контактом с населением, для выявления проблемных мест в бизнес-процессах и технических недоработок информационных систем.</w:t>
            </w:r>
          </w:p>
        </w:tc>
      </w:tr>
    </w:tbl>
    <w:p w14:paraId="231818B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9" w:name="76"/>
      <w:bookmarkEnd w:id="69"/>
      <w:r>
        <w:rPr>
          <w:rFonts w:ascii="Arial" w:hAnsi="Arial" w:cs="Arial"/>
          <w:color w:val="000000"/>
        </w:rPr>
        <w:t> </w:t>
      </w:r>
    </w:p>
    <w:p w14:paraId="6E7841D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0" w:name="77"/>
      <w:bookmarkEnd w:id="70"/>
      <w:r>
        <w:rPr>
          <w:rFonts w:ascii="Arial" w:hAnsi="Arial" w:cs="Arial"/>
          <w:b/>
          <w:bCs/>
          <w:color w:val="000000"/>
        </w:rPr>
        <w:t>3.2. Анализ правовых актов и внутренних документов, регулирующих деятельность объекта анализа; его организационно-управленческой деятельности на наличие коррупционных рисков</w:t>
      </w:r>
    </w:p>
    <w:p w14:paraId="168406B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1" w:name="423"/>
      <w:bookmarkEnd w:id="71"/>
      <w:r>
        <w:rPr>
          <w:rFonts w:ascii="Arial" w:hAnsi="Arial" w:cs="Arial"/>
          <w:color w:val="000000"/>
        </w:rPr>
        <w:t> </w:t>
      </w:r>
    </w:p>
    <w:p w14:paraId="62027A5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8"/>
      <w:bookmarkEnd w:id="72"/>
      <w:r>
        <w:rPr>
          <w:rFonts w:ascii="Arial" w:hAnsi="Arial" w:cs="Arial"/>
          <w:color w:val="000000"/>
        </w:rPr>
        <w:t>В целях обеспечения полноты и системности работы в данном направлении рекомендуется на первоначальном этапе сформировать перечень правовых актов и внутренних документов, регулирующих деятельность объекта анализа.</w:t>
      </w:r>
    </w:p>
    <w:p w14:paraId="141B351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9"/>
      <w:bookmarkEnd w:id="73"/>
      <w:r>
        <w:rPr>
          <w:rFonts w:ascii="Arial" w:hAnsi="Arial" w:cs="Arial"/>
          <w:color w:val="000000"/>
        </w:rPr>
        <w:t xml:space="preserve">Правовые акты и внутренние документы, регулирующие деятельность объекта </w:t>
      </w:r>
      <w:r>
        <w:rPr>
          <w:rFonts w:ascii="Arial" w:hAnsi="Arial" w:cs="Arial"/>
          <w:color w:val="000000"/>
        </w:rPr>
        <w:lastRenderedPageBreak/>
        <w:t>анализа, проверяются на наличие в них коррупциогенных норм. Коррупциогенные нормы права могут соответствовать правилам юридической техники, но нарушать их (дефект нормы).</w:t>
      </w:r>
    </w:p>
    <w:p w14:paraId="72D1828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81"/>
      <w:bookmarkEnd w:id="74"/>
      <w:r>
        <w:rPr>
          <w:rFonts w:ascii="Arial" w:hAnsi="Arial" w:cs="Arial"/>
          <w:color w:val="000000"/>
        </w:rPr>
        <w:t>Правовые акты и внутренние документы изучаются во взаимосвязи с другими правовыми актами и внутренними документами.</w:t>
      </w:r>
    </w:p>
    <w:p w14:paraId="6A88A16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82"/>
      <w:bookmarkEnd w:id="75"/>
      <w:r>
        <w:rPr>
          <w:rFonts w:ascii="Arial" w:hAnsi="Arial" w:cs="Arial"/>
          <w:color w:val="000000"/>
        </w:rPr>
        <w:t xml:space="preserve">Оценка коррупциогенности норм проводится на предмет вероятности коррупционных проявлений при применении данных норм. Для проведения оценки используются следующие наиболее </w:t>
      </w:r>
      <w:r>
        <w:rPr>
          <w:rFonts w:ascii="Arial" w:hAnsi="Arial" w:cs="Arial"/>
          <w:b/>
          <w:bCs/>
          <w:color w:val="000000"/>
        </w:rPr>
        <w:t>типичные коррупционные факторы</w:t>
      </w:r>
      <w:r>
        <w:rPr>
          <w:rFonts w:ascii="Arial" w:hAnsi="Arial" w:cs="Arial"/>
          <w:color w:val="000000"/>
        </w:rPr>
        <w:t>.</w:t>
      </w:r>
    </w:p>
    <w:p w14:paraId="16A5912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84"/>
      <w:bookmarkEnd w:id="76"/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Правовой пробел</w:t>
      </w:r>
      <w:r>
        <w:rPr>
          <w:rFonts w:ascii="Arial" w:hAnsi="Arial" w:cs="Arial"/>
          <w:color w:val="000000"/>
        </w:rPr>
        <w:t xml:space="preserve"> - отсутствие правового регулирования того или иного вопроса в правовом акте или внутреннем документе, что выражается в отсутствии:</w:t>
      </w:r>
    </w:p>
    <w:p w14:paraId="68BEC56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86"/>
      <w:bookmarkEnd w:id="77"/>
      <w:r>
        <w:rPr>
          <w:rFonts w:ascii="Arial" w:hAnsi="Arial" w:cs="Arial"/>
          <w:color w:val="000000"/>
        </w:rPr>
        <w:t>1) положений, регламентирующих компетенцию должностного лица и (или) объекта анализа. Это создает возможность произвольного определения полномочий в целях извлечения незаконной выгоды;</w:t>
      </w:r>
    </w:p>
    <w:p w14:paraId="79A9109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7"/>
      <w:bookmarkEnd w:id="78"/>
      <w:r>
        <w:rPr>
          <w:rFonts w:ascii="Arial" w:hAnsi="Arial" w:cs="Arial"/>
          <w:color w:val="000000"/>
        </w:rPr>
        <w:t>2) процессуального порядка, обеспечивающего влияние гражданина или организации на ход административной процедуры;</w:t>
      </w:r>
    </w:p>
    <w:p w14:paraId="65EF0FF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8"/>
      <w:bookmarkEnd w:id="79"/>
      <w:r>
        <w:rPr>
          <w:rFonts w:ascii="Arial" w:hAnsi="Arial" w:cs="Arial"/>
          <w:color w:val="000000"/>
        </w:rPr>
        <w:t>3) сроков осуществления административных процедур;</w:t>
      </w:r>
    </w:p>
    <w:p w14:paraId="1F44EBD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9"/>
      <w:bookmarkEnd w:id="80"/>
      <w:r>
        <w:rPr>
          <w:rFonts w:ascii="Arial" w:hAnsi="Arial" w:cs="Arial"/>
          <w:color w:val="000000"/>
        </w:rPr>
        <w:t>4) в правовом акте или внутреннем документе исчерпывающих оснований и порядка принятия решений должностным лицом объекта анализа;</w:t>
      </w:r>
    </w:p>
    <w:p w14:paraId="3217B6C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90"/>
      <w:bookmarkEnd w:id="81"/>
      <w:r>
        <w:rPr>
          <w:rFonts w:ascii="Arial" w:hAnsi="Arial" w:cs="Arial"/>
          <w:color w:val="000000"/>
        </w:rPr>
        <w:t>5) положений, устанавливающих ответственность за несоблюдение требований. Это приводит к декларативности их характера и невозможности практического применения.</w:t>
      </w:r>
    </w:p>
    <w:p w14:paraId="52CAA6F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91"/>
      <w:bookmarkEnd w:id="82"/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Коллизия положений правовых актов и внутренних документов</w:t>
      </w:r>
      <w:r>
        <w:rPr>
          <w:rFonts w:ascii="Arial" w:hAnsi="Arial" w:cs="Arial"/>
          <w:color w:val="000000"/>
        </w:rPr>
        <w:t xml:space="preserve"> - расхождения или противоречия между отдельными правовыми актами, внутренними документами, регулирующими одни и те же либо смежные правоотношения, а также противоречия, возникающие в процессе правоприменительной деятельности и при осуществлении должностными лицами объекта анализа своих полномочий.</w:t>
      </w:r>
    </w:p>
    <w:p w14:paraId="4374029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92"/>
      <w:bookmarkEnd w:id="83"/>
      <w:r>
        <w:rPr>
          <w:rFonts w:ascii="Arial" w:hAnsi="Arial" w:cs="Arial"/>
          <w:color w:val="000000"/>
        </w:rPr>
        <w:t>Коллизии могут быть между одноуровневыми нормативными правовыми актами, между актами разных уровней, а также между актами, регулирующими разные сферы общественных отношений.</w:t>
      </w:r>
    </w:p>
    <w:p w14:paraId="5493F87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93"/>
      <w:bookmarkEnd w:id="84"/>
      <w:r>
        <w:rPr>
          <w:rFonts w:ascii="Arial" w:hAnsi="Arial" w:cs="Arial"/>
          <w:color w:val="000000"/>
        </w:rPr>
        <w:t>Индикаторы коллизии положений правовых актов или внутренних документов:</w:t>
      </w:r>
    </w:p>
    <w:p w14:paraId="4BAF4A5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94"/>
      <w:bookmarkEnd w:id="85"/>
      <w:r>
        <w:rPr>
          <w:rFonts w:ascii="Arial" w:hAnsi="Arial" w:cs="Arial"/>
          <w:color w:val="000000"/>
        </w:rPr>
        <w:t>1) отсутствие установленных законом или внутренним документом правил выбора приоритетной нормы;</w:t>
      </w:r>
    </w:p>
    <w:p w14:paraId="1EC2C68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95"/>
      <w:bookmarkEnd w:id="86"/>
      <w:r>
        <w:rPr>
          <w:rFonts w:ascii="Arial" w:hAnsi="Arial" w:cs="Arial"/>
          <w:color w:val="000000"/>
        </w:rPr>
        <w:t>2) возложение ответственности за выбор приоритетной нормы на должностное лицо объекта анализа;</w:t>
      </w:r>
    </w:p>
    <w:p w14:paraId="3147700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96"/>
      <w:bookmarkEnd w:id="87"/>
      <w:r>
        <w:rPr>
          <w:rFonts w:ascii="Arial" w:hAnsi="Arial" w:cs="Arial"/>
          <w:color w:val="000000"/>
        </w:rPr>
        <w:t>3) возможность уйти от строго формализованной юридической ответственности.</w:t>
      </w:r>
    </w:p>
    <w:p w14:paraId="1CA28D5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97"/>
      <w:bookmarkEnd w:id="88"/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Юридико-лингвистическая неопределенность </w:t>
      </w:r>
      <w:r>
        <w:rPr>
          <w:rFonts w:ascii="Arial" w:hAnsi="Arial" w:cs="Arial"/>
          <w:color w:val="000000"/>
        </w:rPr>
        <w:t>- применение недостаточно точно описанных терминов, понятий, словосочетаний или формулировок смыслового (содержательного) характера, что вызвано несоблюдением логических и лингвистических правил юридической техники.</w:t>
      </w:r>
    </w:p>
    <w:p w14:paraId="2315550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98"/>
      <w:bookmarkEnd w:id="89"/>
      <w:r>
        <w:rPr>
          <w:rFonts w:ascii="Arial" w:hAnsi="Arial" w:cs="Arial"/>
          <w:color w:val="000000"/>
        </w:rPr>
        <w:t>Индикаторы юридико-лингвистической неопределенности:</w:t>
      </w:r>
    </w:p>
    <w:p w14:paraId="046B517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99"/>
      <w:bookmarkEnd w:id="90"/>
      <w:r>
        <w:rPr>
          <w:rFonts w:ascii="Arial" w:hAnsi="Arial" w:cs="Arial"/>
          <w:color w:val="000000"/>
        </w:rPr>
        <w:t>1) неясный или двоякий смысл формулировки в положении, что допускает неправомерное толкование;</w:t>
      </w:r>
    </w:p>
    <w:p w14:paraId="242057D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00"/>
      <w:bookmarkEnd w:id="91"/>
      <w:r>
        <w:rPr>
          <w:rFonts w:ascii="Arial" w:hAnsi="Arial" w:cs="Arial"/>
          <w:color w:val="000000"/>
        </w:rPr>
        <w:t>2) обозначение одних и тех же явлений различными терминами;</w:t>
      </w:r>
    </w:p>
    <w:p w14:paraId="07D662E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01"/>
      <w:bookmarkEnd w:id="92"/>
      <w:r>
        <w:rPr>
          <w:rFonts w:ascii="Arial" w:hAnsi="Arial" w:cs="Arial"/>
          <w:color w:val="000000"/>
        </w:rPr>
        <w:t>3) использование неиспользуемых в законодательстве терминов, которые прямо не определены (не разъяснены) в тексте документа и не имеют широкого, распространенного использования, что придавало бы им единый и единообразный смысл.</w:t>
      </w:r>
    </w:p>
    <w:p w14:paraId="469D915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02"/>
      <w:bookmarkEnd w:id="93"/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Широта дискреционных полномочий</w:t>
      </w:r>
      <w:r>
        <w:rPr>
          <w:rFonts w:ascii="Arial" w:hAnsi="Arial" w:cs="Arial"/>
          <w:color w:val="000000"/>
        </w:rPr>
        <w:t xml:space="preserve"> - полномочия должностного лица и (или) объекта анализа, из содержания которых невозможно определить пределы этих полномочий.</w:t>
      </w:r>
    </w:p>
    <w:p w14:paraId="25DE54E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03"/>
      <w:bookmarkEnd w:id="94"/>
      <w:r>
        <w:rPr>
          <w:rFonts w:ascii="Arial" w:hAnsi="Arial" w:cs="Arial"/>
          <w:color w:val="000000"/>
        </w:rPr>
        <w:t>Индикаторы наличия широких дискреционных полномочий:</w:t>
      </w:r>
    </w:p>
    <w:p w14:paraId="5D6C23F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104"/>
      <w:bookmarkEnd w:id="95"/>
      <w:r>
        <w:rPr>
          <w:rFonts w:ascii="Arial" w:hAnsi="Arial" w:cs="Arial"/>
          <w:color w:val="000000"/>
        </w:rPr>
        <w:t>1) отсутствие или неопределенность оснований для принятия должностными лицами решений или для осуществления иных административных процедур;</w:t>
      </w:r>
    </w:p>
    <w:p w14:paraId="18ADADB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05"/>
      <w:bookmarkEnd w:id="96"/>
      <w:r>
        <w:rPr>
          <w:rFonts w:ascii="Arial" w:hAnsi="Arial" w:cs="Arial"/>
          <w:color w:val="000000"/>
        </w:rPr>
        <w:t>2) возможность для должностного лица и (или) объекта анализа принять несколько видов решений либо отказаться от принятия решения;</w:t>
      </w:r>
    </w:p>
    <w:p w14:paraId="59ED917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06"/>
      <w:bookmarkEnd w:id="97"/>
      <w:r>
        <w:rPr>
          <w:rFonts w:ascii="Arial" w:hAnsi="Arial" w:cs="Arial"/>
          <w:color w:val="000000"/>
        </w:rPr>
        <w:t>3) отсутствие обязанности мотивировать принимаемое управленческое решение;</w:t>
      </w:r>
    </w:p>
    <w:p w14:paraId="09F2F34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07"/>
      <w:bookmarkEnd w:id="98"/>
      <w:r>
        <w:rPr>
          <w:rFonts w:ascii="Arial" w:hAnsi="Arial" w:cs="Arial"/>
          <w:color w:val="000000"/>
        </w:rPr>
        <w:t>4) отсутствие определенных сроков принятия решения, их широкий диапазон либо полное отсутствие;</w:t>
      </w:r>
    </w:p>
    <w:p w14:paraId="486BAB3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108"/>
      <w:bookmarkEnd w:id="99"/>
      <w:r>
        <w:rPr>
          <w:rFonts w:ascii="Arial" w:hAnsi="Arial" w:cs="Arial"/>
          <w:color w:val="000000"/>
        </w:rPr>
        <w:t xml:space="preserve">5) возможность для должностного лица и (или) объекта анализа продлить или </w:t>
      </w:r>
      <w:r>
        <w:rPr>
          <w:rFonts w:ascii="Arial" w:hAnsi="Arial" w:cs="Arial"/>
          <w:color w:val="000000"/>
        </w:rPr>
        <w:lastRenderedPageBreak/>
        <w:t>сократить установленный срок без мотивированных оснований;</w:t>
      </w:r>
    </w:p>
    <w:p w14:paraId="6594D85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9"/>
      <w:bookmarkEnd w:id="100"/>
      <w:r>
        <w:rPr>
          <w:rFonts w:ascii="Arial" w:hAnsi="Arial" w:cs="Arial"/>
          <w:color w:val="000000"/>
        </w:rPr>
        <w:t>6) возможность для должностного лица и (или) объекта анализа по своему усмотрению без мотивировки инициировать, изменить или прекратить правоотношения с физическими и юридическими лицами;</w:t>
      </w:r>
    </w:p>
    <w:p w14:paraId="1A3D512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10"/>
      <w:bookmarkEnd w:id="101"/>
      <w:r>
        <w:rPr>
          <w:rFonts w:ascii="Arial" w:hAnsi="Arial" w:cs="Arial"/>
          <w:color w:val="000000"/>
        </w:rPr>
        <w:t>7) дублирование полномочий должностных лиц и (или) объектов анализа;</w:t>
      </w:r>
    </w:p>
    <w:p w14:paraId="3D5E6E0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11"/>
      <w:bookmarkEnd w:id="102"/>
      <w:r>
        <w:rPr>
          <w:rFonts w:ascii="Arial" w:hAnsi="Arial" w:cs="Arial"/>
          <w:color w:val="000000"/>
        </w:rPr>
        <w:t>8) возможность по своему усмотрению определять вид и размер ответственности за неисполнение законодательства;</w:t>
      </w:r>
    </w:p>
    <w:p w14:paraId="6AAFD2D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12"/>
      <w:bookmarkEnd w:id="103"/>
      <w:r>
        <w:rPr>
          <w:rFonts w:ascii="Arial" w:hAnsi="Arial" w:cs="Arial"/>
          <w:color w:val="000000"/>
        </w:rPr>
        <w:t>9) возможность должностного лица и (или) объекта анализа запрашивать дополнительные документы, не предусмотренные в перечне для принятия решения в рамках компетенции.</w:t>
      </w:r>
    </w:p>
    <w:p w14:paraId="76395D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13"/>
      <w:bookmarkEnd w:id="104"/>
      <w:r>
        <w:rPr>
          <w:rFonts w:ascii="Arial" w:hAnsi="Arial" w:cs="Arial"/>
          <w:b/>
          <w:bCs/>
          <w:color w:val="000000"/>
        </w:rPr>
        <w:t>5. Установление права вместо обязанности должностных лиц</w:t>
      </w:r>
      <w:r>
        <w:rPr>
          <w:rFonts w:ascii="Arial" w:hAnsi="Arial" w:cs="Arial"/>
          <w:color w:val="000000"/>
        </w:rPr>
        <w:t xml:space="preserve"> - диспозитивное установление возможности совершения должностными лицами действий в отношении граждан и организаций.</w:t>
      </w:r>
    </w:p>
    <w:p w14:paraId="11CC67B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14"/>
      <w:bookmarkEnd w:id="105"/>
      <w:r>
        <w:rPr>
          <w:rFonts w:ascii="Arial" w:hAnsi="Arial" w:cs="Arial"/>
          <w:color w:val="000000"/>
        </w:rPr>
        <w:t>Индикаторы установления права вместо обязанности:</w:t>
      </w:r>
    </w:p>
    <w:p w14:paraId="69B34FE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15"/>
      <w:bookmarkEnd w:id="106"/>
      <w:r>
        <w:rPr>
          <w:rFonts w:ascii="Arial" w:hAnsi="Arial" w:cs="Arial"/>
          <w:color w:val="000000"/>
        </w:rPr>
        <w:t>1) использование формулировок "вправе", "могут";</w:t>
      </w:r>
    </w:p>
    <w:p w14:paraId="1F0D909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16"/>
      <w:bookmarkEnd w:id="107"/>
      <w:r>
        <w:rPr>
          <w:rFonts w:ascii="Arial" w:hAnsi="Arial" w:cs="Arial"/>
          <w:color w:val="000000"/>
        </w:rPr>
        <w:t>2) наличие законных оснований для принятия должностными лицами решений по своему усмотрению;</w:t>
      </w:r>
    </w:p>
    <w:p w14:paraId="6670966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17"/>
      <w:bookmarkEnd w:id="108"/>
      <w:r>
        <w:rPr>
          <w:rFonts w:ascii="Arial" w:hAnsi="Arial" w:cs="Arial"/>
          <w:color w:val="000000"/>
        </w:rPr>
        <w:t>3) возможность для органа (должностного лица) принять несколько видов решений при наличии одних и тех же оснований.</w:t>
      </w:r>
    </w:p>
    <w:p w14:paraId="08467A9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18"/>
      <w:bookmarkEnd w:id="109"/>
      <w:r>
        <w:rPr>
          <w:rFonts w:ascii="Arial" w:hAnsi="Arial" w:cs="Arial"/>
          <w:b/>
          <w:bCs/>
          <w:color w:val="000000"/>
        </w:rPr>
        <w:t>6. Завышенные требования к лицу, предъявляемые для реализации принадлежащего ему права,</w:t>
      </w:r>
      <w:r>
        <w:rPr>
          <w:rFonts w:ascii="Arial" w:hAnsi="Arial" w:cs="Arial"/>
          <w:color w:val="000000"/>
        </w:rPr>
        <w:t xml:space="preserve"> - требования, которые превышают степень разумных (необходимых) требований и (или) предъявление которых не обосновано нормами законодательства.</w:t>
      </w:r>
    </w:p>
    <w:p w14:paraId="12DA64F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19"/>
      <w:bookmarkEnd w:id="110"/>
      <w:r>
        <w:rPr>
          <w:rFonts w:ascii="Arial" w:hAnsi="Arial" w:cs="Arial"/>
          <w:color w:val="000000"/>
        </w:rPr>
        <w:t>Как правило, данный коррупционный риск наблюдается при правовом регулировании регистрационных, разрешительных и уведомительных правоотношений, конкурсных процедур, при применении к гражданам и организациям санкций и иных мер воздействия, в том числе связанных с ограничением, лишением, приостановлением прав.</w:t>
      </w:r>
    </w:p>
    <w:p w14:paraId="5F5F938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20"/>
      <w:bookmarkEnd w:id="111"/>
      <w:r>
        <w:rPr>
          <w:rFonts w:ascii="Arial" w:hAnsi="Arial" w:cs="Arial"/>
          <w:color w:val="000000"/>
        </w:rPr>
        <w:t>Индикаторы завышения требований к лицу, предъявляемых для реализации принадлежащего ему права:</w:t>
      </w:r>
    </w:p>
    <w:p w14:paraId="70AC307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21"/>
      <w:bookmarkEnd w:id="112"/>
      <w:r>
        <w:rPr>
          <w:rFonts w:ascii="Arial" w:hAnsi="Arial" w:cs="Arial"/>
          <w:color w:val="000000"/>
        </w:rPr>
        <w:t>1) возложение на физических лиц и на юридические лица дополнительных обязанностей, не обоснованных законом, при реализации субъективных прав и свобод;</w:t>
      </w:r>
    </w:p>
    <w:p w14:paraId="18CBE71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22"/>
      <w:bookmarkEnd w:id="113"/>
      <w:r>
        <w:rPr>
          <w:rFonts w:ascii="Arial" w:hAnsi="Arial" w:cs="Arial"/>
          <w:color w:val="000000"/>
        </w:rPr>
        <w:t>2) установление обременительных запретов и ограничений, соблюдение которых ограничит закрепленные Конституцией и законами Республики Беларусь права и свободы;</w:t>
      </w:r>
    </w:p>
    <w:p w14:paraId="616D87D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23"/>
      <w:bookmarkEnd w:id="114"/>
      <w:r>
        <w:rPr>
          <w:rFonts w:ascii="Arial" w:hAnsi="Arial" w:cs="Arial"/>
          <w:color w:val="000000"/>
        </w:rPr>
        <w:t>3) установление иных требований, которые ограничивают права и свободы физических и юридических лиц и (или) предъявление которых не обосновано нормами законодательства;</w:t>
      </w:r>
    </w:p>
    <w:p w14:paraId="42003FA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24"/>
      <w:bookmarkEnd w:id="115"/>
      <w:r>
        <w:rPr>
          <w:rFonts w:ascii="Arial" w:hAnsi="Arial" w:cs="Arial"/>
          <w:color w:val="000000"/>
        </w:rPr>
        <w:t>4) установление неопределенных, трудновыполнимых требований к гражданам и организациям.</w:t>
      </w:r>
    </w:p>
    <w:p w14:paraId="1E97DF7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25"/>
      <w:bookmarkEnd w:id="116"/>
      <w:r>
        <w:rPr>
          <w:rFonts w:ascii="Arial" w:hAnsi="Arial" w:cs="Arial"/>
          <w:b/>
          <w:bCs/>
          <w:color w:val="000000"/>
        </w:rPr>
        <w:t>7. Наличие излишних административных барьеров</w:t>
      </w:r>
      <w:r>
        <w:rPr>
          <w:rFonts w:ascii="Arial" w:hAnsi="Arial" w:cs="Arial"/>
          <w:color w:val="000000"/>
        </w:rPr>
        <w:t xml:space="preserve"> - установление требований, выполнение которых необходимо для реализации физическими и юридическими лицами своих прав, из чего вытекают полномочия должностных лиц отказать в реализации права, приостановить или ликвидировать деятельность либо привлечь к ответственности.</w:t>
      </w:r>
    </w:p>
    <w:p w14:paraId="436579C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26"/>
      <w:bookmarkEnd w:id="117"/>
      <w:r>
        <w:rPr>
          <w:rFonts w:ascii="Arial" w:hAnsi="Arial" w:cs="Arial"/>
          <w:color w:val="000000"/>
        </w:rPr>
        <w:t>Индикаторы излишних административных барьеров:</w:t>
      </w:r>
    </w:p>
    <w:p w14:paraId="26FCB58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27"/>
      <w:bookmarkEnd w:id="118"/>
      <w:r>
        <w:rPr>
          <w:rFonts w:ascii="Arial" w:hAnsi="Arial" w:cs="Arial"/>
          <w:color w:val="000000"/>
        </w:rPr>
        <w:t>1) возложение на физических лиц и на юридические лица обязанности представлять документы, информацию и другие данные, истребование которых нецелесообразно в силу наличия указанных сведений у объекта анализа либо которые объект анализа уполномочен истребовать из необходимых источников самостоятельно;</w:t>
      </w:r>
    </w:p>
    <w:p w14:paraId="47CDFDA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28"/>
      <w:bookmarkEnd w:id="119"/>
      <w:r>
        <w:rPr>
          <w:rFonts w:ascii="Arial" w:hAnsi="Arial" w:cs="Arial"/>
          <w:color w:val="000000"/>
        </w:rPr>
        <w:t>2) обязанность соответствовать признакам (профессиональным, имущественным, социальным), наделение которых не соответствует приобретаемому праву;</w:t>
      </w:r>
    </w:p>
    <w:p w14:paraId="4487B25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9"/>
      <w:bookmarkEnd w:id="120"/>
      <w:r>
        <w:rPr>
          <w:rFonts w:ascii="Arial" w:hAnsi="Arial" w:cs="Arial"/>
          <w:color w:val="000000"/>
        </w:rPr>
        <w:t>3) длительные сроки осуществления административных процедур при наличии возможности их незамедлительного осуществления (например, если в объекте анализа используются автоматизированные информационные системы);</w:t>
      </w:r>
    </w:p>
    <w:p w14:paraId="24D0F3C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30"/>
      <w:bookmarkEnd w:id="121"/>
      <w:r>
        <w:rPr>
          <w:rFonts w:ascii="Arial" w:hAnsi="Arial" w:cs="Arial"/>
          <w:color w:val="000000"/>
        </w:rPr>
        <w:t xml:space="preserve">4) возложение на граждан обязанности нотариально заверять и </w:t>
      </w:r>
      <w:proofErr w:type="spellStart"/>
      <w:r>
        <w:rPr>
          <w:rFonts w:ascii="Arial" w:hAnsi="Arial" w:cs="Arial"/>
          <w:color w:val="000000"/>
        </w:rPr>
        <w:t>апостилировать</w:t>
      </w:r>
      <w:proofErr w:type="spellEnd"/>
      <w:r>
        <w:rPr>
          <w:rFonts w:ascii="Arial" w:hAnsi="Arial" w:cs="Arial"/>
          <w:color w:val="000000"/>
        </w:rPr>
        <w:t xml:space="preserve"> в других государственных органах документы при возможности сличить их оригиналы и копии в государственном органе, куда граждане обратились, если такой порядок не предусмотрен международными актами либо законодательством другого государства, в которое указанные документы предполагается препроводить;</w:t>
      </w:r>
    </w:p>
    <w:p w14:paraId="7F24895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31"/>
      <w:bookmarkEnd w:id="122"/>
      <w:r>
        <w:rPr>
          <w:rFonts w:ascii="Arial" w:hAnsi="Arial" w:cs="Arial"/>
          <w:color w:val="000000"/>
        </w:rPr>
        <w:lastRenderedPageBreak/>
        <w:t>5) несмотря на соответствие гражданина, претендующего на занятие определенным видом деятельности, нормативно установленным квалификационным требованиям (наличие соответствующего профессионального опыта, квалификации, трудового стажа и т.д.), установление необходимости сдачи экзаменов, тестирования, прохождения собеседования и т.д.</w:t>
      </w:r>
    </w:p>
    <w:p w14:paraId="37B567A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23" w:name="132"/>
      <w:bookmarkEnd w:id="123"/>
      <w:r>
        <w:rPr>
          <w:rFonts w:ascii="Arial" w:hAnsi="Arial" w:cs="Arial"/>
          <w:b/>
          <w:bCs/>
          <w:color w:val="000000"/>
        </w:rPr>
        <w:t>8. Ненадлежащее определение функций, обязанностей, прав и ответственности.</w:t>
      </w:r>
    </w:p>
    <w:p w14:paraId="45557F1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33"/>
      <w:bookmarkEnd w:id="124"/>
      <w:r>
        <w:rPr>
          <w:rFonts w:ascii="Arial" w:hAnsi="Arial" w:cs="Arial"/>
          <w:color w:val="000000"/>
        </w:rPr>
        <w:t>Индикаторы их ненадлежащего определения:</w:t>
      </w:r>
    </w:p>
    <w:p w14:paraId="7BF9EC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34"/>
      <w:bookmarkEnd w:id="125"/>
      <w:r>
        <w:rPr>
          <w:rFonts w:ascii="Arial" w:hAnsi="Arial" w:cs="Arial"/>
          <w:color w:val="000000"/>
        </w:rPr>
        <w:t>1) невозможность установления из содержания правового акта или внутреннего документа ответственного за принятие решений должностного лица;</w:t>
      </w:r>
    </w:p>
    <w:p w14:paraId="3DFA6A3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35"/>
      <w:bookmarkEnd w:id="126"/>
      <w:r>
        <w:rPr>
          <w:rFonts w:ascii="Arial" w:hAnsi="Arial" w:cs="Arial"/>
          <w:color w:val="000000"/>
        </w:rPr>
        <w:t>2) отсутствие ограничений и запретов, позволяющих не допустить возникновение коррупционного правонарушения (например, отсутствие запрета передавать принятие решения другому должностному лицу, разглашать ставшие известными сведения и т.д.);</w:t>
      </w:r>
    </w:p>
    <w:p w14:paraId="4AC99C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36"/>
      <w:bookmarkEnd w:id="127"/>
      <w:r>
        <w:rPr>
          <w:rFonts w:ascii="Arial" w:hAnsi="Arial" w:cs="Arial"/>
          <w:color w:val="000000"/>
        </w:rPr>
        <w:t>3) неустановление персональной ответственности за неисполнение или ненадлежащее исполнение должностных обязанностей;</w:t>
      </w:r>
    </w:p>
    <w:p w14:paraId="33751B1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37"/>
      <w:bookmarkEnd w:id="128"/>
      <w:r>
        <w:rPr>
          <w:rFonts w:ascii="Arial" w:hAnsi="Arial" w:cs="Arial"/>
          <w:color w:val="000000"/>
        </w:rPr>
        <w:t xml:space="preserve">4) </w:t>
      </w:r>
      <w:proofErr w:type="spellStart"/>
      <w:r>
        <w:rPr>
          <w:rFonts w:ascii="Arial" w:hAnsi="Arial" w:cs="Arial"/>
          <w:color w:val="000000"/>
        </w:rPr>
        <w:t>неопределение</w:t>
      </w:r>
      <w:proofErr w:type="spellEnd"/>
      <w:r>
        <w:rPr>
          <w:rFonts w:ascii="Arial" w:hAnsi="Arial" w:cs="Arial"/>
          <w:color w:val="000000"/>
        </w:rPr>
        <w:t xml:space="preserve"> процедуры контроля за исполнением должностными лицами обязанностей и полномочий.</w:t>
      </w:r>
    </w:p>
    <w:p w14:paraId="2E9CC57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38"/>
      <w:bookmarkEnd w:id="129"/>
      <w:r>
        <w:rPr>
          <w:rFonts w:ascii="Arial" w:hAnsi="Arial" w:cs="Arial"/>
          <w:color w:val="000000"/>
        </w:rPr>
        <w:t>Данный перечень наиболее типичных коррупционных факторов не является исчерпывающим. Для выявления коррупционных рисков в организационно-распорядительной деятельности необходимо проверить наличие в управленческих и бизнес-процессах причин и условий для совершения коррупционных правонарушений.</w:t>
      </w:r>
    </w:p>
    <w:p w14:paraId="4F50B2C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40"/>
      <w:bookmarkEnd w:id="130"/>
      <w:r>
        <w:rPr>
          <w:rFonts w:ascii="Arial" w:hAnsi="Arial" w:cs="Arial"/>
          <w:b/>
          <w:bCs/>
          <w:color w:val="000000"/>
        </w:rPr>
        <w:t>Организационно-распорядительная деятельность объекта анализа</w:t>
      </w:r>
      <w:r>
        <w:rPr>
          <w:rFonts w:ascii="Arial" w:hAnsi="Arial" w:cs="Arial"/>
          <w:color w:val="000000"/>
        </w:rPr>
        <w:t xml:space="preserve"> включает: </w:t>
      </w:r>
    </w:p>
    <w:p w14:paraId="65E79E3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41"/>
      <w:bookmarkEnd w:id="131"/>
      <w:r>
        <w:rPr>
          <w:rFonts w:ascii="Arial" w:hAnsi="Arial" w:cs="Arial"/>
          <w:color w:val="000000"/>
        </w:rPr>
        <w:t>1) управление персоналом;</w:t>
      </w:r>
    </w:p>
    <w:p w14:paraId="01AD6B9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42"/>
      <w:bookmarkEnd w:id="132"/>
      <w:r>
        <w:rPr>
          <w:rFonts w:ascii="Arial" w:hAnsi="Arial" w:cs="Arial"/>
          <w:color w:val="000000"/>
        </w:rPr>
        <w:t>2) урегулирование конфликта интересов;</w:t>
      </w:r>
    </w:p>
    <w:p w14:paraId="7506326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43"/>
      <w:bookmarkEnd w:id="133"/>
      <w:r>
        <w:rPr>
          <w:rFonts w:ascii="Arial" w:hAnsi="Arial" w:cs="Arial"/>
          <w:color w:val="000000"/>
        </w:rPr>
        <w:t>3) осуществление административных процедур;</w:t>
      </w:r>
    </w:p>
    <w:p w14:paraId="09C7DD5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44"/>
      <w:bookmarkEnd w:id="134"/>
      <w:r>
        <w:rPr>
          <w:rFonts w:ascii="Arial" w:hAnsi="Arial" w:cs="Arial"/>
          <w:color w:val="000000"/>
        </w:rPr>
        <w:t>4) реализацию разрешительных функций;</w:t>
      </w:r>
    </w:p>
    <w:p w14:paraId="5382B68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45"/>
      <w:bookmarkEnd w:id="135"/>
      <w:r>
        <w:rPr>
          <w:rFonts w:ascii="Arial" w:hAnsi="Arial" w:cs="Arial"/>
          <w:color w:val="000000"/>
        </w:rPr>
        <w:t>5) реализацию контрольных функций;</w:t>
      </w:r>
    </w:p>
    <w:p w14:paraId="58A06EA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46"/>
      <w:bookmarkEnd w:id="136"/>
      <w:r>
        <w:rPr>
          <w:rFonts w:ascii="Arial" w:hAnsi="Arial" w:cs="Arial"/>
          <w:color w:val="000000"/>
        </w:rPr>
        <w:t>6) иные вопросы.</w:t>
      </w:r>
    </w:p>
    <w:p w14:paraId="1DC18C7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47"/>
      <w:bookmarkEnd w:id="137"/>
      <w:r>
        <w:rPr>
          <w:rFonts w:ascii="Arial" w:hAnsi="Arial" w:cs="Arial"/>
          <w:color w:val="000000"/>
        </w:rPr>
        <w:t>Оценка наличия коррупционных рисков в организационно-распорядительной деятельности проводится с применением перечня наиболее типичных индикаторов коррупционных рисков (проявлений).</w:t>
      </w:r>
    </w:p>
    <w:p w14:paraId="25370AA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443"/>
      <w:bookmarkEnd w:id="138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управления персоналом</w:t>
      </w:r>
      <w:r>
        <w:rPr>
          <w:rFonts w:ascii="Arial" w:hAnsi="Arial" w:cs="Arial"/>
          <w:color w:val="000000"/>
        </w:rPr>
        <w:t>:</w:t>
      </w:r>
    </w:p>
    <w:p w14:paraId="4BA146F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49"/>
      <w:bookmarkEnd w:id="139"/>
      <w:r>
        <w:rPr>
          <w:rFonts w:ascii="Arial" w:hAnsi="Arial" w:cs="Arial"/>
          <w:color w:val="000000"/>
        </w:rPr>
        <w:t>1) неурегулированность порядка отбора и назначения на должность;</w:t>
      </w:r>
    </w:p>
    <w:p w14:paraId="052C73C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50"/>
      <w:bookmarkEnd w:id="140"/>
      <w:r>
        <w:rPr>
          <w:rFonts w:ascii="Arial" w:hAnsi="Arial" w:cs="Arial"/>
          <w:color w:val="000000"/>
        </w:rPr>
        <w:t>2) назначение на должность без конкурсного отбора;</w:t>
      </w:r>
    </w:p>
    <w:p w14:paraId="15638C4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51"/>
      <w:bookmarkEnd w:id="141"/>
      <w:r>
        <w:rPr>
          <w:rFonts w:ascii="Arial" w:hAnsi="Arial" w:cs="Arial"/>
          <w:color w:val="000000"/>
        </w:rPr>
        <w:t>3) формальное проведение конкурсного отбора; принятие на работу лиц, не соответствующих квалификационным требованиям;</w:t>
      </w:r>
    </w:p>
    <w:p w14:paraId="2708CBC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52"/>
      <w:bookmarkEnd w:id="142"/>
      <w:r>
        <w:rPr>
          <w:rFonts w:ascii="Arial" w:hAnsi="Arial" w:cs="Arial"/>
          <w:color w:val="000000"/>
        </w:rPr>
        <w:t>4) неразмещение, несвоевременное и (или) неполное размещение информации о вакансиях, квалификационных требованиях, перечне необходимых документов, лицах, допущенных к различным этапам отбора;</w:t>
      </w:r>
    </w:p>
    <w:p w14:paraId="177F025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53"/>
      <w:bookmarkEnd w:id="143"/>
      <w:r>
        <w:rPr>
          <w:rFonts w:ascii="Arial" w:hAnsi="Arial" w:cs="Arial"/>
          <w:color w:val="000000"/>
        </w:rPr>
        <w:t>5) отсутствие сроков проведения этапов отбора (срока размещения объявления о вакансии, приема документов, собеседования, тестирования и т.д.);</w:t>
      </w:r>
    </w:p>
    <w:p w14:paraId="7E89840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54"/>
      <w:bookmarkEnd w:id="144"/>
      <w:r>
        <w:rPr>
          <w:rFonts w:ascii="Arial" w:hAnsi="Arial" w:cs="Arial"/>
          <w:color w:val="000000"/>
        </w:rPr>
        <w:t>6) отсутствие механизма формирования и защиты вопросов для проведения собеседования и тестирования;</w:t>
      </w:r>
    </w:p>
    <w:p w14:paraId="7C9B7BE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55"/>
      <w:bookmarkEnd w:id="145"/>
      <w:r>
        <w:rPr>
          <w:rFonts w:ascii="Arial" w:hAnsi="Arial" w:cs="Arial"/>
          <w:color w:val="000000"/>
        </w:rPr>
        <w:t>7) создание для кандидатов неравных условий;</w:t>
      </w:r>
    </w:p>
    <w:p w14:paraId="73EE1C8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56"/>
      <w:bookmarkEnd w:id="146"/>
      <w:r>
        <w:rPr>
          <w:rFonts w:ascii="Arial" w:hAnsi="Arial" w:cs="Arial"/>
          <w:color w:val="000000"/>
        </w:rPr>
        <w:t>8) необеспечение мер по управлению конфликтом интересов (его предупреждению, выявлению и урегулированию) у лиц, принимающих решение о приеме кандидатов на работу;</w:t>
      </w:r>
    </w:p>
    <w:p w14:paraId="10C90A0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57"/>
      <w:bookmarkEnd w:id="147"/>
      <w:r>
        <w:rPr>
          <w:rFonts w:ascii="Arial" w:hAnsi="Arial" w:cs="Arial"/>
          <w:color w:val="000000"/>
        </w:rPr>
        <w:t>9) повышение работников в должности, перевод на иные должности без конкурсного отбора;</w:t>
      </w:r>
    </w:p>
    <w:p w14:paraId="0B92CE8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58"/>
      <w:bookmarkEnd w:id="148"/>
      <w:r>
        <w:rPr>
          <w:rFonts w:ascii="Arial" w:hAnsi="Arial" w:cs="Arial"/>
          <w:color w:val="000000"/>
        </w:rPr>
        <w:t>10) закрытость информации о заработных платах, поощрениях работников объекта анализа;</w:t>
      </w:r>
    </w:p>
    <w:p w14:paraId="1A09703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59"/>
      <w:bookmarkEnd w:id="149"/>
      <w:r>
        <w:rPr>
          <w:rFonts w:ascii="Arial" w:hAnsi="Arial" w:cs="Arial"/>
          <w:color w:val="000000"/>
        </w:rPr>
        <w:t>11) поощрение работников при наличии неснятых дисциплинарных взысканий;</w:t>
      </w:r>
    </w:p>
    <w:p w14:paraId="7723257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60"/>
      <w:bookmarkEnd w:id="150"/>
      <w:r>
        <w:rPr>
          <w:rFonts w:ascii="Arial" w:hAnsi="Arial" w:cs="Arial"/>
          <w:color w:val="000000"/>
        </w:rPr>
        <w:t>12) поощрение работников на усмотрение должностных лиц объекта анализа вне зависимости от результатов работы;</w:t>
      </w:r>
    </w:p>
    <w:p w14:paraId="1A61B34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61"/>
      <w:bookmarkEnd w:id="151"/>
      <w:r>
        <w:rPr>
          <w:rFonts w:ascii="Arial" w:hAnsi="Arial" w:cs="Arial"/>
          <w:color w:val="000000"/>
        </w:rPr>
        <w:t>13) большой удельный вес досрочно снятых дисциплинарных взысканий;</w:t>
      </w:r>
    </w:p>
    <w:p w14:paraId="3128861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62"/>
      <w:bookmarkEnd w:id="152"/>
      <w:r>
        <w:rPr>
          <w:rFonts w:ascii="Arial" w:hAnsi="Arial" w:cs="Arial"/>
          <w:color w:val="000000"/>
        </w:rPr>
        <w:t>14) снятие дисциплинарных взысканий в чрезмерно короткий срок;</w:t>
      </w:r>
    </w:p>
    <w:p w14:paraId="7AACD02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63"/>
      <w:bookmarkEnd w:id="153"/>
      <w:r>
        <w:rPr>
          <w:rFonts w:ascii="Arial" w:hAnsi="Arial" w:cs="Arial"/>
          <w:color w:val="000000"/>
        </w:rPr>
        <w:t xml:space="preserve">15) неприменение мер дисциплинарного характера к лицам, совершившим или допустившим нарушения законодательства; нарушение или ограничение прав физических </w:t>
      </w:r>
      <w:r>
        <w:rPr>
          <w:rFonts w:ascii="Arial" w:hAnsi="Arial" w:cs="Arial"/>
          <w:color w:val="000000"/>
        </w:rPr>
        <w:lastRenderedPageBreak/>
        <w:t>или юридических лиц и т.д.</w:t>
      </w:r>
    </w:p>
    <w:p w14:paraId="52BA8A6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64"/>
      <w:bookmarkEnd w:id="154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урегулирования конфликта интересов</w:t>
      </w:r>
      <w:r>
        <w:rPr>
          <w:rFonts w:ascii="Arial" w:hAnsi="Arial" w:cs="Arial"/>
          <w:color w:val="000000"/>
        </w:rPr>
        <w:t>:</w:t>
      </w:r>
    </w:p>
    <w:p w14:paraId="595BDB8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65"/>
      <w:bookmarkEnd w:id="155"/>
      <w:r>
        <w:rPr>
          <w:rFonts w:ascii="Arial" w:hAnsi="Arial" w:cs="Arial"/>
          <w:color w:val="000000"/>
        </w:rPr>
        <w:t>1) отсутствие документа (политики), определяющего процедуры урегулирования конфликта интересов;</w:t>
      </w:r>
    </w:p>
    <w:p w14:paraId="34024C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66"/>
      <w:bookmarkEnd w:id="156"/>
      <w:r>
        <w:rPr>
          <w:rFonts w:ascii="Arial" w:hAnsi="Arial" w:cs="Arial"/>
          <w:color w:val="000000"/>
        </w:rPr>
        <w:t>2) отсутствие лица, на которое возложены функции по мониторингу (выявлению) и урегулированию конфликта интересов;</w:t>
      </w:r>
    </w:p>
    <w:p w14:paraId="5745236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67"/>
      <w:bookmarkEnd w:id="157"/>
      <w:r>
        <w:rPr>
          <w:rFonts w:ascii="Arial" w:hAnsi="Arial" w:cs="Arial"/>
          <w:color w:val="000000"/>
        </w:rPr>
        <w:t>3) непринятие мер по мониторингу конфликта интересов и его урегулированию;</w:t>
      </w:r>
    </w:p>
    <w:p w14:paraId="126BFEF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68"/>
      <w:bookmarkEnd w:id="158"/>
      <w:r>
        <w:rPr>
          <w:rFonts w:ascii="Arial" w:hAnsi="Arial" w:cs="Arial"/>
          <w:color w:val="000000"/>
        </w:rPr>
        <w:t>4) наличие противоречий между административными регламентами, должностными инструкциями, с одной стороны, и плановыми показателями - с другой;</w:t>
      </w:r>
    </w:p>
    <w:p w14:paraId="5421D7D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69"/>
      <w:bookmarkEnd w:id="159"/>
      <w:r>
        <w:rPr>
          <w:rFonts w:ascii="Arial" w:hAnsi="Arial" w:cs="Arial"/>
          <w:color w:val="000000"/>
        </w:rPr>
        <w:t>5) наличие противоречий между регулятивными и контрольными функциями;</w:t>
      </w:r>
    </w:p>
    <w:p w14:paraId="3162728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70"/>
      <w:bookmarkEnd w:id="160"/>
      <w:r>
        <w:rPr>
          <w:rFonts w:ascii="Arial" w:hAnsi="Arial" w:cs="Arial"/>
          <w:color w:val="000000"/>
        </w:rPr>
        <w:t>6) выявление фактов конфликта интересов у работников объекта анализа при выполнении должностных функций;</w:t>
      </w:r>
    </w:p>
    <w:p w14:paraId="28D1797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71"/>
      <w:bookmarkEnd w:id="161"/>
      <w:r>
        <w:rPr>
          <w:rFonts w:ascii="Arial" w:hAnsi="Arial" w:cs="Arial"/>
          <w:color w:val="000000"/>
        </w:rPr>
        <w:t>7) отсутствие требований об урегулировании конфликта интересов в документах, регулирующих деятельность коллегиальных органов.</w:t>
      </w:r>
    </w:p>
    <w:p w14:paraId="072CC55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72"/>
      <w:bookmarkEnd w:id="162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осуществления административных процедур</w:t>
      </w:r>
      <w:r>
        <w:rPr>
          <w:rFonts w:ascii="Arial" w:hAnsi="Arial" w:cs="Arial"/>
          <w:color w:val="000000"/>
        </w:rPr>
        <w:t>, включая реализацию разрешительных функций (как частный случай осуществления административных процедур включает выдачу разрешительных документов, проведение экспертизы, наделение правом, регистрацию, согласование):</w:t>
      </w:r>
    </w:p>
    <w:p w14:paraId="5B9A38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74"/>
      <w:bookmarkEnd w:id="163"/>
      <w:r>
        <w:rPr>
          <w:rFonts w:ascii="Arial" w:hAnsi="Arial" w:cs="Arial"/>
          <w:color w:val="000000"/>
        </w:rPr>
        <w:t>1) отсутствие или лишь частичное регулирование порядка осуществления административной процедуры, в том числе порядка реализации разрешительных функций (необходимые документы, форма оказания, сроки, результат, основания отказа и т.д.);</w:t>
      </w:r>
    </w:p>
    <w:p w14:paraId="467DEC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75"/>
      <w:bookmarkEnd w:id="164"/>
      <w:r>
        <w:rPr>
          <w:rFonts w:ascii="Arial" w:hAnsi="Arial" w:cs="Arial"/>
          <w:color w:val="000000"/>
        </w:rPr>
        <w:t>2) несоответствие фактических процессов осуществления административных процедур установленным требованиям, в том числе системные факты нарушения сроков их осуществления, истребования не предусмотренных правовыми актами документов, факты нарушения порядка (регламента) осуществления процедур;</w:t>
      </w:r>
    </w:p>
    <w:p w14:paraId="67D6152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76"/>
      <w:bookmarkEnd w:id="165"/>
      <w:r>
        <w:rPr>
          <w:rFonts w:ascii="Arial" w:hAnsi="Arial" w:cs="Arial"/>
          <w:color w:val="000000"/>
        </w:rPr>
        <w:t>3) противоречия требований, предусмотренных правилами (регламентом) осуществления административной процедуры, нормам вышестоящих нормативных правовых актов;</w:t>
      </w:r>
    </w:p>
    <w:p w14:paraId="1AF55B5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77"/>
      <w:bookmarkEnd w:id="166"/>
      <w:r>
        <w:rPr>
          <w:rFonts w:ascii="Arial" w:hAnsi="Arial" w:cs="Arial"/>
          <w:color w:val="000000"/>
        </w:rPr>
        <w:t>4) ненадлежащая работа информационных систем, используемых при осуществлении административных процедур, что приводит к нарушению установленного порядка;</w:t>
      </w:r>
    </w:p>
    <w:p w14:paraId="51BF10D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78"/>
      <w:bookmarkEnd w:id="167"/>
      <w:r>
        <w:rPr>
          <w:rFonts w:ascii="Arial" w:hAnsi="Arial" w:cs="Arial"/>
          <w:color w:val="000000"/>
        </w:rPr>
        <w:t>5) возможность вручную корректировать процессы осуществления административной процедуры при использовании информационных систем;</w:t>
      </w:r>
    </w:p>
    <w:p w14:paraId="29F522C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79"/>
      <w:bookmarkEnd w:id="168"/>
      <w:r>
        <w:rPr>
          <w:rFonts w:ascii="Arial" w:hAnsi="Arial" w:cs="Arial"/>
          <w:color w:val="000000"/>
        </w:rPr>
        <w:t>6) прием документов и выдача результатов осуществления административной процедуры непосредственно через лицо, осуществляющее данную процедуру;</w:t>
      </w:r>
    </w:p>
    <w:p w14:paraId="3C44FC7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80"/>
      <w:bookmarkEnd w:id="169"/>
      <w:r>
        <w:rPr>
          <w:rFonts w:ascii="Arial" w:hAnsi="Arial" w:cs="Arial"/>
          <w:color w:val="000000"/>
        </w:rPr>
        <w:t>7) отмена правил (регламента) осуществления административных процедур без утверждения нового правового акта;</w:t>
      </w:r>
    </w:p>
    <w:p w14:paraId="3D976EC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81"/>
      <w:bookmarkEnd w:id="170"/>
      <w:r>
        <w:rPr>
          <w:rFonts w:ascii="Arial" w:hAnsi="Arial" w:cs="Arial"/>
          <w:color w:val="000000"/>
        </w:rPr>
        <w:t>8) чрезмерно длительное принятие правового акта, регулирующего осуществление административной процедуры;</w:t>
      </w:r>
    </w:p>
    <w:p w14:paraId="758280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82"/>
      <w:bookmarkEnd w:id="171"/>
      <w:r>
        <w:rPr>
          <w:rFonts w:ascii="Arial" w:hAnsi="Arial" w:cs="Arial"/>
          <w:color w:val="000000"/>
        </w:rPr>
        <w:t xml:space="preserve">9) системные нарушения порядка осуществления административных процедур, в частности осуществление скрытых административных процедур, выдача разрешительных документов или согласований в порядке, установленном Законом об обращениях граждан и юридических лиц; </w:t>
      </w:r>
    </w:p>
    <w:p w14:paraId="2A7804F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83"/>
      <w:bookmarkEnd w:id="172"/>
      <w:r>
        <w:rPr>
          <w:rFonts w:ascii="Arial" w:hAnsi="Arial" w:cs="Arial"/>
          <w:color w:val="000000"/>
        </w:rPr>
        <w:t>10) отсутствие либо частичное регулирование сроков проверочных мероприятий, охватываемого периода; полномочий лиц, уполномоченных на проведение контрольных мероприятий; критериев отбора объектов контроля; принятия решения по результатам проверочных мероприятий; процедур приостановления или продления контрольных мероприятий (относится к реализации разрешительных функций);</w:t>
      </w:r>
    </w:p>
    <w:p w14:paraId="596323B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84"/>
      <w:bookmarkEnd w:id="173"/>
      <w:r>
        <w:rPr>
          <w:rFonts w:ascii="Arial" w:hAnsi="Arial" w:cs="Arial"/>
          <w:color w:val="000000"/>
        </w:rPr>
        <w:t>11) отсутствие системы управления рисками при отборе объектов контроля (относится к реализации разрешительных функций);</w:t>
      </w:r>
    </w:p>
    <w:p w14:paraId="4B5DEED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85"/>
      <w:bookmarkEnd w:id="174"/>
      <w:r>
        <w:rPr>
          <w:rFonts w:ascii="Arial" w:hAnsi="Arial" w:cs="Arial"/>
          <w:color w:val="000000"/>
        </w:rPr>
        <w:t>12) отсутствие требований к фото- и видеофиксации (относится к реализации разрешительных функций);</w:t>
      </w:r>
    </w:p>
    <w:p w14:paraId="6DA13D6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186"/>
      <w:bookmarkEnd w:id="175"/>
      <w:r>
        <w:rPr>
          <w:rFonts w:ascii="Arial" w:hAnsi="Arial" w:cs="Arial"/>
          <w:color w:val="000000"/>
        </w:rPr>
        <w:t>13) отсутствие или недостаточность работы по анализу контрольных мероприятий в разрезе регионов, видов нарушений, применяемых санкций (относится к реализации разрешительных функций);</w:t>
      </w:r>
    </w:p>
    <w:p w14:paraId="5DBE275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87"/>
      <w:bookmarkEnd w:id="176"/>
      <w:r>
        <w:rPr>
          <w:rFonts w:ascii="Arial" w:hAnsi="Arial" w:cs="Arial"/>
          <w:color w:val="000000"/>
        </w:rPr>
        <w:t xml:space="preserve">14) отсутствие методологического сопровождения со стороны центрального аппарата государственного органа, субъекта квазигосударственного сектора посредством </w:t>
      </w:r>
      <w:r>
        <w:rPr>
          <w:rFonts w:ascii="Arial" w:hAnsi="Arial" w:cs="Arial"/>
          <w:color w:val="000000"/>
        </w:rPr>
        <w:lastRenderedPageBreak/>
        <w:t>направления методических рекомендаций, инструкций, указаний, проведения иных разъясняющих и обучающих мероприятий и т.д.;</w:t>
      </w:r>
    </w:p>
    <w:p w14:paraId="62F8C7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88"/>
      <w:bookmarkEnd w:id="177"/>
      <w:r>
        <w:rPr>
          <w:rFonts w:ascii="Arial" w:hAnsi="Arial" w:cs="Arial"/>
          <w:color w:val="000000"/>
        </w:rPr>
        <w:t>15) отсутствие единообразной практики проведения контрольных мероприятий территориальными подразделениями, дочерними и зависимыми организациями (относится к реализации разрешительных функций);</w:t>
      </w:r>
    </w:p>
    <w:p w14:paraId="7CF9BE6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89"/>
      <w:bookmarkEnd w:id="178"/>
      <w:r>
        <w:rPr>
          <w:rFonts w:ascii="Arial" w:hAnsi="Arial" w:cs="Arial"/>
          <w:color w:val="000000"/>
        </w:rPr>
        <w:t>16) факты аффилированности лиц, проводивших контрольные мероприятия с представителями объектов контроля (относится к реализации разрешительных функций).</w:t>
      </w:r>
    </w:p>
    <w:p w14:paraId="140B40F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460"/>
      <w:bookmarkEnd w:id="179"/>
      <w:r>
        <w:rPr>
          <w:rFonts w:ascii="Arial" w:hAnsi="Arial" w:cs="Arial"/>
          <w:color w:val="000000"/>
        </w:rPr>
        <w:t>Иные вопросы, вытекающие из организационно-управленческой деятельности объекта анализа, включают организацию работы по противодействию коррупции, а также следующие направления деятельности объекта анализа, связанные с его взаимодействием с физическими и юридическими лицами:</w:t>
      </w:r>
    </w:p>
    <w:p w14:paraId="0EC8878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461"/>
      <w:bookmarkEnd w:id="180"/>
      <w:r>
        <w:rPr>
          <w:rFonts w:ascii="Arial" w:hAnsi="Arial" w:cs="Arial"/>
          <w:color w:val="000000"/>
        </w:rPr>
        <w:t>1) освоение и распределение бюджетных и финансовых средств, в том числе выплата субсидий, грантов, вознаграждений, спонсорской помощи, закупка товаров и услуг;</w:t>
      </w:r>
    </w:p>
    <w:p w14:paraId="3E03C4D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462"/>
      <w:bookmarkEnd w:id="181"/>
      <w:r>
        <w:rPr>
          <w:rFonts w:ascii="Arial" w:hAnsi="Arial" w:cs="Arial"/>
          <w:color w:val="000000"/>
        </w:rPr>
        <w:t>2) заключение договоров;</w:t>
      </w:r>
    </w:p>
    <w:p w14:paraId="31A36FE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463"/>
      <w:bookmarkEnd w:id="182"/>
      <w:r>
        <w:rPr>
          <w:rFonts w:ascii="Arial" w:hAnsi="Arial" w:cs="Arial"/>
          <w:color w:val="000000"/>
        </w:rPr>
        <w:t>3) прозрачность и гласность деятельности.</w:t>
      </w:r>
    </w:p>
    <w:p w14:paraId="6608DE2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464"/>
      <w:bookmarkEnd w:id="183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организации работы по противодействию коррупции</w:t>
      </w:r>
      <w:r>
        <w:rPr>
          <w:rFonts w:ascii="Arial" w:hAnsi="Arial" w:cs="Arial"/>
          <w:color w:val="000000"/>
        </w:rPr>
        <w:t>:</w:t>
      </w:r>
    </w:p>
    <w:p w14:paraId="7D3FC4A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465"/>
      <w:bookmarkEnd w:id="184"/>
      <w:r>
        <w:rPr>
          <w:rFonts w:ascii="Arial" w:hAnsi="Arial" w:cs="Arial"/>
          <w:color w:val="000000"/>
        </w:rPr>
        <w:t>1) отсутствие лица или подразделения, в чью компетенцию входят функции по противодействию коррупции;</w:t>
      </w:r>
    </w:p>
    <w:p w14:paraId="12681AE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466"/>
      <w:bookmarkEnd w:id="185"/>
      <w:r>
        <w:rPr>
          <w:rFonts w:ascii="Arial" w:hAnsi="Arial" w:cs="Arial"/>
          <w:color w:val="000000"/>
        </w:rPr>
        <w:t>2) отсутствие плана мероприятий по профилактике коррупции, политики по противодействию коррупции;</w:t>
      </w:r>
    </w:p>
    <w:p w14:paraId="3EDBE5E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467"/>
      <w:bookmarkEnd w:id="186"/>
      <w:r>
        <w:rPr>
          <w:rFonts w:ascii="Arial" w:hAnsi="Arial" w:cs="Arial"/>
          <w:color w:val="000000"/>
        </w:rPr>
        <w:t>3) отсутствие локальных документов о выявлении и урегулировании конфликта интересов;</w:t>
      </w:r>
    </w:p>
    <w:p w14:paraId="150FC9A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468"/>
      <w:bookmarkEnd w:id="187"/>
      <w:r>
        <w:rPr>
          <w:rFonts w:ascii="Arial" w:hAnsi="Arial" w:cs="Arial"/>
          <w:color w:val="000000"/>
        </w:rPr>
        <w:t>4) непроведение или недостаточное проведение для работников объекта анализа разъясняющих и обучающих мероприятий по вопросам противодействия коррупции;</w:t>
      </w:r>
    </w:p>
    <w:p w14:paraId="19B7D36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469"/>
      <w:bookmarkEnd w:id="188"/>
      <w:r>
        <w:rPr>
          <w:rFonts w:ascii="Arial" w:hAnsi="Arial" w:cs="Arial"/>
          <w:color w:val="000000"/>
        </w:rPr>
        <w:t>5) непроведение мероприятий по проверке знания работниками требований антикоррупционного законодательства, политики противодействия коррупции объекта анализа;</w:t>
      </w:r>
    </w:p>
    <w:p w14:paraId="3C34DD3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470"/>
      <w:bookmarkEnd w:id="189"/>
      <w:r>
        <w:rPr>
          <w:rFonts w:ascii="Arial" w:hAnsi="Arial" w:cs="Arial"/>
          <w:color w:val="000000"/>
        </w:rPr>
        <w:t>6) отсутствие или ненадлежащее информирование государственных должностных и приравненных к ним лиц об установленных законодательством антикоррупционных ограничениях для них и их родственников;</w:t>
      </w:r>
    </w:p>
    <w:p w14:paraId="5316A06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471"/>
      <w:bookmarkEnd w:id="190"/>
      <w:r>
        <w:rPr>
          <w:rFonts w:ascii="Arial" w:hAnsi="Arial" w:cs="Arial"/>
          <w:color w:val="000000"/>
        </w:rPr>
        <w:t>7) отсутствие инструментов контроля за соблюдением антикоррупционных ограничений государственными должностными и приравненными к ним лицами;</w:t>
      </w:r>
    </w:p>
    <w:p w14:paraId="2614761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" w:name="472"/>
      <w:bookmarkEnd w:id="191"/>
      <w:r>
        <w:rPr>
          <w:rFonts w:ascii="Arial" w:hAnsi="Arial" w:cs="Arial"/>
          <w:color w:val="000000"/>
        </w:rPr>
        <w:t>8) наличие фактов несоблюдения антикоррупционных ограничений работниками объекта анализа, непроведения надлежащих внутренних проверок по каждому такому факту (в том числе прямое их сокрытие непосредственными руководителями);</w:t>
      </w:r>
    </w:p>
    <w:p w14:paraId="7A02648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473"/>
      <w:bookmarkEnd w:id="192"/>
      <w:r>
        <w:rPr>
          <w:rFonts w:ascii="Arial" w:hAnsi="Arial" w:cs="Arial"/>
          <w:color w:val="000000"/>
        </w:rPr>
        <w:t>9) наличие фактов привлечения работников объекта анализа к уголовной ответственности за совершение коррупционных правонарушений, непринятия своевременных и полных мер по устранению причин и условий, последствий коррупционных проявлений;</w:t>
      </w:r>
    </w:p>
    <w:p w14:paraId="48D7A6F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474"/>
      <w:bookmarkEnd w:id="193"/>
      <w:r>
        <w:rPr>
          <w:rFonts w:ascii="Arial" w:hAnsi="Arial" w:cs="Arial"/>
          <w:color w:val="000000"/>
        </w:rPr>
        <w:t>10) отсутствие способов и каналов (в том числе анонимных) сообщения работниками информации об известных им и предполагаемых фактах коррупции;</w:t>
      </w:r>
    </w:p>
    <w:p w14:paraId="142E6C9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475"/>
      <w:bookmarkEnd w:id="194"/>
      <w:r>
        <w:rPr>
          <w:rFonts w:ascii="Arial" w:hAnsi="Arial" w:cs="Arial"/>
          <w:color w:val="000000"/>
        </w:rPr>
        <w:t>11) отсутствие действенных механизмов защиты лиц, сообщивших о фактах коррупции, от неправомерного наказания, увольнения или иных мер преследования;</w:t>
      </w:r>
    </w:p>
    <w:p w14:paraId="5407A7A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477"/>
      <w:bookmarkEnd w:id="195"/>
      <w:r>
        <w:rPr>
          <w:rFonts w:ascii="Arial" w:hAnsi="Arial" w:cs="Arial"/>
          <w:color w:val="000000"/>
        </w:rPr>
        <w:t>12) наличие большого количества жалоб физических и юридических лиц, в том числе в средствах массовой информации, на неправомерные действия коррупционного характера работников объекта анализа.</w:t>
      </w:r>
    </w:p>
    <w:p w14:paraId="44B8901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478"/>
      <w:bookmarkEnd w:id="196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освоения и распределения бюджетных и финансовых средств</w:t>
      </w:r>
      <w:r>
        <w:rPr>
          <w:rFonts w:ascii="Arial" w:hAnsi="Arial" w:cs="Arial"/>
          <w:color w:val="000000"/>
        </w:rPr>
        <w:t>:</w:t>
      </w:r>
    </w:p>
    <w:p w14:paraId="777D4A1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479"/>
      <w:bookmarkEnd w:id="197"/>
      <w:r>
        <w:rPr>
          <w:rFonts w:ascii="Arial" w:hAnsi="Arial" w:cs="Arial"/>
          <w:color w:val="000000"/>
        </w:rPr>
        <w:t>1) отсутствие или слабая проработка видов отчетности, механизмов мониторинга, внутреннего и внешнего контроля за процедурами освоения и распределения бюджетных и финансовых средств;</w:t>
      </w:r>
    </w:p>
    <w:p w14:paraId="1C90AFA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480"/>
      <w:bookmarkEnd w:id="198"/>
      <w:r>
        <w:rPr>
          <w:rFonts w:ascii="Arial" w:hAnsi="Arial" w:cs="Arial"/>
          <w:color w:val="000000"/>
        </w:rPr>
        <w:t>2) отсутствие или слабая проработка видов отчетности по освоению бюджетных и финансовых средств;</w:t>
      </w:r>
    </w:p>
    <w:p w14:paraId="75B0266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481"/>
      <w:bookmarkEnd w:id="199"/>
      <w:r>
        <w:rPr>
          <w:rFonts w:ascii="Arial" w:hAnsi="Arial" w:cs="Arial"/>
          <w:color w:val="000000"/>
        </w:rPr>
        <w:t>3) отсутствие системы управления рисками;</w:t>
      </w:r>
    </w:p>
    <w:p w14:paraId="01BF5F1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482"/>
      <w:bookmarkEnd w:id="200"/>
      <w:r>
        <w:rPr>
          <w:rFonts w:ascii="Arial" w:hAnsi="Arial" w:cs="Arial"/>
          <w:color w:val="000000"/>
        </w:rPr>
        <w:t xml:space="preserve">4) отсутствие подразделений, выполняющих функции по внутреннему аудиту, внутреннему контролю при оперировании объектом анализа значительными суммами </w:t>
      </w:r>
      <w:r>
        <w:rPr>
          <w:rFonts w:ascii="Arial" w:hAnsi="Arial" w:cs="Arial"/>
          <w:color w:val="000000"/>
        </w:rPr>
        <w:lastRenderedPageBreak/>
        <w:t>бюджетных и других финансовых средств;</w:t>
      </w:r>
    </w:p>
    <w:p w14:paraId="25AEFB0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" w:name="483"/>
      <w:bookmarkEnd w:id="201"/>
      <w:r>
        <w:rPr>
          <w:rFonts w:ascii="Arial" w:hAnsi="Arial" w:cs="Arial"/>
          <w:color w:val="000000"/>
        </w:rPr>
        <w:t>5) отсутствие за предыдущие два года мероприятий по аудиту, ревизии и иных мер финансового контроля при оперировании объектом анализа значительными суммами бюджетных и других финансовых средств;</w:t>
      </w:r>
    </w:p>
    <w:p w14:paraId="44DFF11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2" w:name="484"/>
      <w:bookmarkEnd w:id="202"/>
      <w:r>
        <w:rPr>
          <w:rFonts w:ascii="Arial" w:hAnsi="Arial" w:cs="Arial"/>
          <w:color w:val="000000"/>
        </w:rPr>
        <w:t>6) непрозрачность расходования бюджетных и других финансовых средств;</w:t>
      </w:r>
    </w:p>
    <w:p w14:paraId="5E30D1C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485"/>
      <w:bookmarkEnd w:id="203"/>
      <w:r>
        <w:rPr>
          <w:rFonts w:ascii="Arial" w:hAnsi="Arial" w:cs="Arial"/>
          <w:color w:val="000000"/>
        </w:rPr>
        <w:t>7) несоответствие количества и объема закупаемых товаров, работ и услуг фактической потребности (натуральным нормам);</w:t>
      </w:r>
    </w:p>
    <w:p w14:paraId="11EC91A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486"/>
      <w:bookmarkEnd w:id="204"/>
      <w:r>
        <w:rPr>
          <w:rFonts w:ascii="Arial" w:hAnsi="Arial" w:cs="Arial"/>
          <w:color w:val="000000"/>
        </w:rPr>
        <w:t>8) необоснованность цены за единицу товара;</w:t>
      </w:r>
    </w:p>
    <w:p w14:paraId="3B9C0BF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487"/>
      <w:bookmarkEnd w:id="205"/>
      <w:r>
        <w:rPr>
          <w:rFonts w:ascii="Arial" w:hAnsi="Arial" w:cs="Arial"/>
          <w:color w:val="000000"/>
        </w:rPr>
        <w:t>9) несоответствие запланированной стоимости товаров (работ, услуг) рыночной стоимости;</w:t>
      </w:r>
    </w:p>
    <w:p w14:paraId="6C83858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488"/>
      <w:bookmarkEnd w:id="206"/>
      <w:r>
        <w:rPr>
          <w:rFonts w:ascii="Arial" w:hAnsi="Arial" w:cs="Arial"/>
          <w:color w:val="000000"/>
        </w:rPr>
        <w:t>10) несвоевременное размещение плана закупок на портале государственных закупок;</w:t>
      </w:r>
    </w:p>
    <w:p w14:paraId="0CA574F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489"/>
      <w:bookmarkEnd w:id="207"/>
      <w:r>
        <w:rPr>
          <w:rFonts w:ascii="Arial" w:hAnsi="Arial" w:cs="Arial"/>
          <w:color w:val="000000"/>
        </w:rPr>
        <w:t>11) наличие характеристик в закупочной документации, привязывающих закупку к конкурентному поставщику;</w:t>
      </w:r>
    </w:p>
    <w:p w14:paraId="4285E08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490"/>
      <w:bookmarkEnd w:id="208"/>
      <w:r>
        <w:rPr>
          <w:rFonts w:ascii="Arial" w:hAnsi="Arial" w:cs="Arial"/>
          <w:color w:val="000000"/>
        </w:rPr>
        <w:t>12) большой удельный вес в общей структуре закупочной деятельности признанных несостоявшимися конкурентных процедур закупок;</w:t>
      </w:r>
    </w:p>
    <w:p w14:paraId="25048ED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491"/>
      <w:bookmarkEnd w:id="209"/>
      <w:r>
        <w:rPr>
          <w:rFonts w:ascii="Arial" w:hAnsi="Arial" w:cs="Arial"/>
          <w:color w:val="000000"/>
        </w:rPr>
        <w:t>13) наличие фактов отмены начатых процедур закупок по результатам контрольно-надзорных мероприятий, выявление иных нарушений закупочной деятельности, не повлекших отмену начатых закупочных процедур;</w:t>
      </w:r>
    </w:p>
    <w:p w14:paraId="3AE88D1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492"/>
      <w:bookmarkEnd w:id="210"/>
      <w:r>
        <w:rPr>
          <w:rFonts w:ascii="Arial" w:hAnsi="Arial" w:cs="Arial"/>
          <w:color w:val="000000"/>
        </w:rPr>
        <w:t>14) несвоевременность и низкое качество исполнения контрагентами обязательств, вытекающих из договора поставки товаров, выполнения работ и оказания услуг;</w:t>
      </w:r>
    </w:p>
    <w:p w14:paraId="067AAEE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493"/>
      <w:bookmarkEnd w:id="211"/>
      <w:r>
        <w:rPr>
          <w:rFonts w:ascii="Arial" w:hAnsi="Arial" w:cs="Arial"/>
          <w:color w:val="000000"/>
        </w:rPr>
        <w:t>15) отсутствие утвержденного документа, регламентирующего порядок размещения временно свободных денежных средств на текущих счетах банков; мер мониторинга, контроля и персональной ответственности уполномоченных лиц.</w:t>
      </w:r>
    </w:p>
    <w:p w14:paraId="2B93FF0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494"/>
      <w:bookmarkEnd w:id="212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заключения договоров с физическими и юридическими лицами</w:t>
      </w:r>
      <w:r>
        <w:rPr>
          <w:rFonts w:ascii="Arial" w:hAnsi="Arial" w:cs="Arial"/>
          <w:color w:val="000000"/>
        </w:rPr>
        <w:t>:</w:t>
      </w:r>
    </w:p>
    <w:p w14:paraId="67AB6AB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495"/>
      <w:bookmarkEnd w:id="213"/>
      <w:r>
        <w:rPr>
          <w:rFonts w:ascii="Arial" w:hAnsi="Arial" w:cs="Arial"/>
          <w:color w:val="000000"/>
        </w:rPr>
        <w:t>1) отсутствие антикоррупционных оговорок в договорах;</w:t>
      </w:r>
    </w:p>
    <w:p w14:paraId="362A9B2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496"/>
      <w:bookmarkEnd w:id="214"/>
      <w:r>
        <w:rPr>
          <w:rFonts w:ascii="Arial" w:hAnsi="Arial" w:cs="Arial"/>
          <w:color w:val="000000"/>
        </w:rPr>
        <w:t>2) неоднократное заключение договоров с одними организациями при наличии предложений от иных организаций с аналогичными или более выгодными условиями;</w:t>
      </w:r>
    </w:p>
    <w:p w14:paraId="1B8F978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497"/>
      <w:bookmarkEnd w:id="215"/>
      <w:r>
        <w:rPr>
          <w:rFonts w:ascii="Arial" w:hAnsi="Arial" w:cs="Arial"/>
          <w:color w:val="000000"/>
        </w:rPr>
        <w:t>3) наличие аффилированных компаний, выполнение контрагентом разнопрофильных и несвойственных ему работ;</w:t>
      </w:r>
    </w:p>
    <w:p w14:paraId="6EB5579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498"/>
      <w:bookmarkEnd w:id="216"/>
      <w:r>
        <w:rPr>
          <w:rFonts w:ascii="Arial" w:hAnsi="Arial" w:cs="Arial"/>
          <w:color w:val="000000"/>
        </w:rPr>
        <w:t>4) отсутствие штрафных санкций, применяемых к контрагенту, либо уменьшенные штрафные санкции;</w:t>
      </w:r>
    </w:p>
    <w:p w14:paraId="3DEDCFC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499"/>
      <w:bookmarkEnd w:id="217"/>
      <w:r>
        <w:rPr>
          <w:rFonts w:ascii="Arial" w:hAnsi="Arial" w:cs="Arial"/>
          <w:color w:val="000000"/>
        </w:rPr>
        <w:t>5) неприменение санкций в случае нарушения договорных обязательств;</w:t>
      </w:r>
    </w:p>
    <w:p w14:paraId="6749382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500"/>
      <w:bookmarkEnd w:id="218"/>
      <w:r>
        <w:rPr>
          <w:rFonts w:ascii="Arial" w:hAnsi="Arial" w:cs="Arial"/>
          <w:color w:val="000000"/>
        </w:rPr>
        <w:t>6) многочисленные и значительные корректировки условий на этапе исполнения договора;</w:t>
      </w:r>
    </w:p>
    <w:p w14:paraId="7EFBD36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501"/>
      <w:bookmarkEnd w:id="219"/>
      <w:r>
        <w:rPr>
          <w:rFonts w:ascii="Arial" w:hAnsi="Arial" w:cs="Arial"/>
          <w:color w:val="000000"/>
        </w:rPr>
        <w:t>7) несвоевременные направление претензий и подача иска к контрагенту за нарушение договорных обязательств;</w:t>
      </w:r>
    </w:p>
    <w:p w14:paraId="1DE93EA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502"/>
      <w:bookmarkEnd w:id="220"/>
      <w:r>
        <w:rPr>
          <w:rFonts w:ascii="Arial" w:hAnsi="Arial" w:cs="Arial"/>
          <w:color w:val="000000"/>
        </w:rPr>
        <w:t>8) необоснованный отказ от претензий или судебных разбирательств при нарушении контрагентами договорных обязательств;</w:t>
      </w:r>
    </w:p>
    <w:p w14:paraId="1816583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503"/>
      <w:bookmarkEnd w:id="221"/>
      <w:r>
        <w:rPr>
          <w:rFonts w:ascii="Arial" w:hAnsi="Arial" w:cs="Arial"/>
          <w:color w:val="000000"/>
        </w:rPr>
        <w:t>9) отсутствие актов, регулирующих порядок управления дебиторской задолженностью и проведения претензионно-исковой работы;</w:t>
      </w:r>
    </w:p>
    <w:p w14:paraId="2C4379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504"/>
      <w:bookmarkEnd w:id="222"/>
      <w:r>
        <w:rPr>
          <w:rFonts w:ascii="Arial" w:hAnsi="Arial" w:cs="Arial"/>
          <w:color w:val="000000"/>
        </w:rPr>
        <w:t>10) отсутствие механизмов работы по изучению контрагентов в целях предотвращения конфликта интересов и аффилированности.</w:t>
      </w:r>
    </w:p>
    <w:p w14:paraId="33A0663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505"/>
      <w:bookmarkEnd w:id="223"/>
      <w:r>
        <w:rPr>
          <w:rFonts w:ascii="Arial" w:hAnsi="Arial" w:cs="Arial"/>
          <w:color w:val="000000"/>
        </w:rPr>
        <w:t xml:space="preserve">Индикаторы коррупционных рисков в сфере </w:t>
      </w:r>
      <w:r>
        <w:rPr>
          <w:rFonts w:ascii="Arial" w:hAnsi="Arial" w:cs="Arial"/>
          <w:b/>
          <w:bCs/>
          <w:color w:val="000000"/>
        </w:rPr>
        <w:t>обеспечения прозрачности и гласности деятельности</w:t>
      </w:r>
      <w:r>
        <w:rPr>
          <w:rFonts w:ascii="Arial" w:hAnsi="Arial" w:cs="Arial"/>
          <w:color w:val="000000"/>
        </w:rPr>
        <w:t>:</w:t>
      </w:r>
    </w:p>
    <w:p w14:paraId="2B7E7A4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506"/>
      <w:bookmarkEnd w:id="224"/>
      <w:r>
        <w:rPr>
          <w:rFonts w:ascii="Arial" w:hAnsi="Arial" w:cs="Arial"/>
          <w:color w:val="000000"/>
        </w:rPr>
        <w:t>1) неполное и несвоевременное опубликование информации о деятельности объекта, представляющей общественный интерес (планы закупок, освоение бюджетных и иных финансовых средств, планы проведения контрольных мероприятий, правовые акты и внутренние документы, регулирующие взаимодействие с физическими и юридическими лицами);</w:t>
      </w:r>
    </w:p>
    <w:p w14:paraId="2E25493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507"/>
      <w:bookmarkEnd w:id="225"/>
      <w:r>
        <w:rPr>
          <w:rFonts w:ascii="Arial" w:hAnsi="Arial" w:cs="Arial"/>
          <w:color w:val="000000"/>
        </w:rPr>
        <w:t>2) несоблюдение требований Директивы от 27.12.2006 N 2;</w:t>
      </w:r>
    </w:p>
    <w:p w14:paraId="6776738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508"/>
      <w:bookmarkEnd w:id="226"/>
      <w:r>
        <w:rPr>
          <w:rFonts w:ascii="Arial" w:hAnsi="Arial" w:cs="Arial"/>
          <w:color w:val="000000"/>
        </w:rPr>
        <w:t>3) случаи нарушения сроков рассмотрения обращений граждан и юридических лиц, направление неполных и немотивированных ответов заявителям.</w:t>
      </w:r>
    </w:p>
    <w:p w14:paraId="463B1D3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509"/>
      <w:bookmarkEnd w:id="227"/>
      <w:r>
        <w:rPr>
          <w:rFonts w:ascii="Arial" w:hAnsi="Arial" w:cs="Arial"/>
          <w:color w:val="000000"/>
        </w:rPr>
        <w:t>Приведенные коррупционные риски в организационно-управленческой деятельности и их индикаторы не являются исчерпывающими.</w:t>
      </w:r>
    </w:p>
    <w:p w14:paraId="64DCCE0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1077"/>
        <w:jc w:val="both"/>
        <w:rPr>
          <w:rFonts w:ascii="Arial" w:hAnsi="Arial" w:cs="Arial"/>
          <w:color w:val="000000"/>
        </w:rPr>
      </w:pPr>
      <w:bookmarkStart w:id="228" w:name="239"/>
      <w:bookmarkEnd w:id="228"/>
      <w:r>
        <w:rPr>
          <w:rFonts w:ascii="Arial" w:hAnsi="Arial" w:cs="Arial"/>
          <w:color w:val="000000"/>
        </w:rPr>
        <w:t> </w:t>
      </w:r>
    </w:p>
    <w:p w14:paraId="05D7BBF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229" w:name="240"/>
      <w:bookmarkEnd w:id="229"/>
      <w:r>
        <w:rPr>
          <w:rFonts w:ascii="Arial" w:hAnsi="Arial" w:cs="Arial"/>
          <w:b/>
          <w:bCs/>
          <w:color w:val="000000"/>
        </w:rPr>
        <w:lastRenderedPageBreak/>
        <w:t>3.3.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Подготовка и подписание аналитической справки</w:t>
      </w:r>
    </w:p>
    <w:p w14:paraId="405347D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538"/>
        <w:jc w:val="both"/>
        <w:rPr>
          <w:rFonts w:ascii="Arial" w:hAnsi="Arial" w:cs="Arial"/>
          <w:color w:val="000000"/>
        </w:rPr>
      </w:pPr>
      <w:bookmarkStart w:id="230" w:name="510"/>
      <w:bookmarkEnd w:id="230"/>
      <w:r>
        <w:rPr>
          <w:rFonts w:ascii="Arial" w:hAnsi="Arial" w:cs="Arial"/>
          <w:color w:val="000000"/>
        </w:rPr>
        <w:t> </w:t>
      </w:r>
    </w:p>
    <w:p w14:paraId="55F759F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511"/>
      <w:bookmarkEnd w:id="231"/>
      <w:r>
        <w:rPr>
          <w:rFonts w:ascii="Arial" w:hAnsi="Arial" w:cs="Arial"/>
          <w:color w:val="000000"/>
        </w:rPr>
        <w:t>Уполномоченное лицо после завершения срока работ по выявлению коррупционных рисков составляет аналитическую справку, содержащую информацию о выявленных коррупционных рисках и рекомендации по устранению причин и условий, способствующих совершению коррупционных правонарушений (далее - рекомендации) (приложение 2).</w:t>
      </w:r>
    </w:p>
    <w:p w14:paraId="0D4363A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512"/>
      <w:bookmarkEnd w:id="232"/>
      <w:r>
        <w:rPr>
          <w:rFonts w:ascii="Arial" w:hAnsi="Arial" w:cs="Arial"/>
          <w:color w:val="000000"/>
        </w:rPr>
        <w:t>Текст аналитической справки должен быть конкретным, лаконичным и в то же время понятным, а изложенный материал - достоверным и актуальным.</w:t>
      </w:r>
    </w:p>
    <w:p w14:paraId="6D52A80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513"/>
      <w:bookmarkEnd w:id="233"/>
      <w:r>
        <w:rPr>
          <w:rFonts w:ascii="Arial" w:hAnsi="Arial" w:cs="Arial"/>
          <w:color w:val="000000"/>
        </w:rPr>
        <w:t>Замечания и выводы по выявленным коррупционным рискам должны иметь конкретный и предметный характер с указанием их названий и кратких характеристик квалифицирующих признаков.</w:t>
      </w:r>
    </w:p>
    <w:p w14:paraId="1703F9E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514"/>
      <w:bookmarkEnd w:id="234"/>
      <w:r>
        <w:rPr>
          <w:rFonts w:ascii="Arial" w:hAnsi="Arial" w:cs="Arial"/>
          <w:color w:val="000000"/>
        </w:rPr>
        <w:t>Рекомендации по устранению выявленных коррупционных рисков должны быть основанными на нормах законодательства, эффективными, выполнимыми и нацеленными на исключение коррупционного риска в деятельности объекта анализа.</w:t>
      </w:r>
    </w:p>
    <w:p w14:paraId="0E967D4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5" w:name="515"/>
      <w:bookmarkEnd w:id="235"/>
      <w:r>
        <w:rPr>
          <w:rFonts w:ascii="Arial" w:hAnsi="Arial" w:cs="Arial"/>
          <w:color w:val="000000"/>
        </w:rPr>
        <w:t>В рекомендациях должны быть указаны наилучшие и наиболее рациональные способы (инструменты) реализации антикоррупционных мер для достижения желаемого результата.</w:t>
      </w:r>
    </w:p>
    <w:p w14:paraId="3E50609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6" w:name="516"/>
      <w:bookmarkEnd w:id="236"/>
      <w:r>
        <w:rPr>
          <w:rFonts w:ascii="Arial" w:hAnsi="Arial" w:cs="Arial"/>
          <w:color w:val="000000"/>
        </w:rPr>
        <w:t xml:space="preserve">Наиболее </w:t>
      </w:r>
      <w:r>
        <w:rPr>
          <w:rFonts w:ascii="Arial" w:hAnsi="Arial" w:cs="Arial"/>
          <w:b/>
          <w:bCs/>
          <w:color w:val="000000"/>
        </w:rPr>
        <w:t>типичные меры по устранению коррупционных рисков</w:t>
      </w:r>
      <w:r>
        <w:rPr>
          <w:rFonts w:ascii="Arial" w:hAnsi="Arial" w:cs="Arial"/>
          <w:color w:val="000000"/>
        </w:rPr>
        <w:t>:</w:t>
      </w:r>
    </w:p>
    <w:p w14:paraId="2C962DE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7" w:name="517"/>
      <w:bookmarkEnd w:id="237"/>
      <w:r>
        <w:rPr>
          <w:rFonts w:ascii="Arial" w:hAnsi="Arial" w:cs="Arial"/>
          <w:color w:val="000000"/>
        </w:rPr>
        <w:t>- разработка и принятие правовых актов или внутренних документов, внесение в них изменений и дополнений, направленных на устранение коррупционных факторов;</w:t>
      </w:r>
    </w:p>
    <w:p w14:paraId="186B3DA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518"/>
      <w:bookmarkEnd w:id="238"/>
      <w:r>
        <w:rPr>
          <w:rFonts w:ascii="Arial" w:hAnsi="Arial" w:cs="Arial"/>
          <w:color w:val="000000"/>
        </w:rPr>
        <w:t>- конкретизация полномочий должностных лиц;</w:t>
      </w:r>
    </w:p>
    <w:p w14:paraId="6529D20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519"/>
      <w:bookmarkEnd w:id="239"/>
      <w:r>
        <w:rPr>
          <w:rFonts w:ascii="Arial" w:hAnsi="Arial" w:cs="Arial"/>
          <w:color w:val="000000"/>
        </w:rPr>
        <w:t>- системное обучение персонала и повышение его квалификации;</w:t>
      </w:r>
    </w:p>
    <w:p w14:paraId="106AB7D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520"/>
      <w:bookmarkEnd w:id="240"/>
      <w:r>
        <w:rPr>
          <w:rFonts w:ascii="Arial" w:hAnsi="Arial" w:cs="Arial"/>
          <w:color w:val="000000"/>
        </w:rPr>
        <w:t>- внедрение инструментов общественного контроля за деятельностью объекта анализа;</w:t>
      </w:r>
    </w:p>
    <w:p w14:paraId="691AE15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521"/>
      <w:bookmarkEnd w:id="241"/>
      <w:r>
        <w:rPr>
          <w:rFonts w:ascii="Arial" w:hAnsi="Arial" w:cs="Arial"/>
          <w:color w:val="000000"/>
        </w:rPr>
        <w:t>- оптимизация и автоматизация административных процедур, исключение личного контакта должностных лиц объекта анализа с физическими и юридическими лицами при реализации разрешительных функций;</w:t>
      </w:r>
    </w:p>
    <w:p w14:paraId="474459B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522"/>
      <w:bookmarkEnd w:id="242"/>
      <w:r>
        <w:rPr>
          <w:rFonts w:ascii="Arial" w:hAnsi="Arial" w:cs="Arial"/>
          <w:color w:val="000000"/>
        </w:rPr>
        <w:t>- перераспределение полномочий, изменение структуры, слияние либо ликвидация структурных подразделений, оптимизация штатной численности, упразднение излишних управленческих звеньев;</w:t>
      </w:r>
    </w:p>
    <w:p w14:paraId="2433A74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523"/>
      <w:bookmarkEnd w:id="243"/>
      <w:r>
        <w:rPr>
          <w:rFonts w:ascii="Arial" w:hAnsi="Arial" w:cs="Arial"/>
          <w:color w:val="000000"/>
        </w:rPr>
        <w:t>- сокращение административных расходов;</w:t>
      </w:r>
    </w:p>
    <w:p w14:paraId="6CA49BF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4" w:name="524"/>
      <w:bookmarkEnd w:id="244"/>
      <w:r>
        <w:rPr>
          <w:rFonts w:ascii="Arial" w:hAnsi="Arial" w:cs="Arial"/>
          <w:color w:val="000000"/>
        </w:rPr>
        <w:t>- разработка либо развитие информационной системы, а также ее интеграция с базами данных других государственных органов и организаций.</w:t>
      </w:r>
    </w:p>
    <w:p w14:paraId="0201334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5" w:name="525"/>
      <w:bookmarkEnd w:id="245"/>
      <w:r>
        <w:rPr>
          <w:rFonts w:ascii="Arial" w:hAnsi="Arial" w:cs="Arial"/>
          <w:color w:val="000000"/>
        </w:rPr>
        <w:t>Приведенный перечень мер по устранению коррупционных рисков не является исчерпывающим.</w:t>
      </w:r>
    </w:p>
    <w:p w14:paraId="0318A96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6" w:name="526"/>
      <w:bookmarkEnd w:id="246"/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когда устранение и минимизация коррупционных рисков предполагают принятие мер со стороны иных государственных органов и организаций, рекомендуется направить им соответствующие письма, инициировать проведение совместных мероприятий и т.д.</w:t>
      </w:r>
    </w:p>
    <w:p w14:paraId="64266A0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7" w:name="527"/>
      <w:bookmarkEnd w:id="247"/>
      <w:r>
        <w:rPr>
          <w:rFonts w:ascii="Arial" w:hAnsi="Arial" w:cs="Arial"/>
          <w:color w:val="000000"/>
        </w:rPr>
        <w:t>К аналитической справке рекомендуется прилагать:</w:t>
      </w:r>
    </w:p>
    <w:p w14:paraId="30BF12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528"/>
      <w:bookmarkEnd w:id="248"/>
      <w:r>
        <w:rPr>
          <w:rFonts w:ascii="Arial" w:hAnsi="Arial" w:cs="Arial"/>
          <w:color w:val="000000"/>
        </w:rPr>
        <w:t>1) копии документов, которые использовались при анализе (решения суда, протоколы, акты проверок и т.д.);</w:t>
      </w:r>
    </w:p>
    <w:p w14:paraId="2D2B961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529"/>
      <w:bookmarkEnd w:id="249"/>
      <w:r>
        <w:rPr>
          <w:rFonts w:ascii="Arial" w:hAnsi="Arial" w:cs="Arial"/>
          <w:color w:val="000000"/>
        </w:rPr>
        <w:t>2) карту рисков;</w:t>
      </w:r>
    </w:p>
    <w:p w14:paraId="7C29A15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530"/>
      <w:bookmarkEnd w:id="250"/>
      <w:r>
        <w:rPr>
          <w:rFonts w:ascii="Arial" w:hAnsi="Arial" w:cs="Arial"/>
          <w:color w:val="000000"/>
        </w:rPr>
        <w:t>3) слайды, инфографику и иные наглядные материалы.</w:t>
      </w:r>
    </w:p>
    <w:p w14:paraId="6420185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1" w:name="531"/>
      <w:bookmarkEnd w:id="251"/>
      <w:r>
        <w:rPr>
          <w:rFonts w:ascii="Arial" w:hAnsi="Arial" w:cs="Arial"/>
          <w:color w:val="000000"/>
        </w:rPr>
        <w:t>Уполномоченное лицо направляет аналитическую справку на рассмотрение членам рабочей группы.</w:t>
      </w:r>
    </w:p>
    <w:p w14:paraId="3E51C9C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2" w:name="532"/>
      <w:bookmarkEnd w:id="252"/>
      <w:r>
        <w:rPr>
          <w:rFonts w:ascii="Arial" w:hAnsi="Arial" w:cs="Arial"/>
          <w:color w:val="000000"/>
        </w:rPr>
        <w:t>Члены рабочей группы рассматривают аналитическую справку в целях внесения:</w:t>
      </w:r>
    </w:p>
    <w:p w14:paraId="62B75FF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3" w:name="533"/>
      <w:bookmarkEnd w:id="253"/>
      <w:r>
        <w:rPr>
          <w:rFonts w:ascii="Arial" w:hAnsi="Arial" w:cs="Arial"/>
          <w:color w:val="000000"/>
        </w:rPr>
        <w:t>- предложений по ее дополнению;</w:t>
      </w:r>
    </w:p>
    <w:p w14:paraId="2FE8694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4" w:name="534"/>
      <w:bookmarkEnd w:id="254"/>
      <w:r>
        <w:rPr>
          <w:rFonts w:ascii="Arial" w:hAnsi="Arial" w:cs="Arial"/>
          <w:color w:val="000000"/>
        </w:rPr>
        <w:t>- уточнений по приведенным в справке выводам и рекомендациям, корректировки ошибочных данных и сведений с приложением обоснований.</w:t>
      </w:r>
    </w:p>
    <w:p w14:paraId="021CBD7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5" w:name="535"/>
      <w:bookmarkEnd w:id="255"/>
      <w:r>
        <w:rPr>
          <w:rFonts w:ascii="Arial" w:hAnsi="Arial" w:cs="Arial"/>
          <w:color w:val="000000"/>
        </w:rPr>
        <w:t xml:space="preserve">В случае внесения членами рабочей группы предложений и обоснований по доработке аналитической справки уполномоченное лицо рассматривает их обоснованность, </w:t>
      </w:r>
      <w:proofErr w:type="spellStart"/>
      <w:r>
        <w:rPr>
          <w:rFonts w:ascii="Arial" w:hAnsi="Arial" w:cs="Arial"/>
          <w:color w:val="000000"/>
        </w:rPr>
        <w:t>практикоориентированность</w:t>
      </w:r>
      <w:proofErr w:type="spellEnd"/>
      <w:r>
        <w:rPr>
          <w:rFonts w:ascii="Arial" w:hAnsi="Arial" w:cs="Arial"/>
          <w:color w:val="000000"/>
        </w:rPr>
        <w:t xml:space="preserve"> и достаточность для устранения выявленных коррупционных рисков. При необходимости для обсуждения аналитической справки, предложений и обоснований по ее доработке уполномоченное лицо может организовать совещание с участием членов рабочей группы. </w:t>
      </w:r>
    </w:p>
    <w:p w14:paraId="239E2A5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6" w:name="536"/>
      <w:bookmarkEnd w:id="256"/>
      <w:r>
        <w:rPr>
          <w:rFonts w:ascii="Arial" w:hAnsi="Arial" w:cs="Arial"/>
          <w:color w:val="000000"/>
        </w:rPr>
        <w:t xml:space="preserve">Уполномоченное лицо направляет аналитическую справку, сформированную по </w:t>
      </w:r>
      <w:r>
        <w:rPr>
          <w:rFonts w:ascii="Arial" w:hAnsi="Arial" w:cs="Arial"/>
          <w:color w:val="000000"/>
        </w:rPr>
        <w:lastRenderedPageBreak/>
        <w:t>итогам рассмотрения предложений членов рабочей группы, на подписание должностному лицу, на которое возлагается руководство, координация и ответственность за проведение анализа коррупционных рисков и результаты работы. Аналитическая справка подлежит подписанию в сроки, установленные в решении руководителя государственного органа, организации.</w:t>
      </w:r>
    </w:p>
    <w:p w14:paraId="05CA515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7" w:name="537"/>
      <w:bookmarkEnd w:id="257"/>
      <w:r>
        <w:rPr>
          <w:rFonts w:ascii="Arial" w:hAnsi="Arial" w:cs="Arial"/>
          <w:color w:val="000000"/>
        </w:rPr>
        <w:t>Рекомендуется внести аналитическую справку непосредственно руководителю государственного органа, организации для рассмотрения и принятия мер, к примеру, не позднее пяти рабочих дней со дня подписания. Данный срок может быть заранее предусмотрен в решении о проведении анализа рисков.</w:t>
      </w:r>
    </w:p>
    <w:p w14:paraId="3D9EBD3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8" w:name="538"/>
      <w:bookmarkEnd w:id="258"/>
      <w:r>
        <w:rPr>
          <w:rFonts w:ascii="Arial" w:hAnsi="Arial" w:cs="Arial"/>
          <w:color w:val="000000"/>
        </w:rPr>
        <w:t>В случае создания в государственном органе, организации в соответствии с постановлением Совмина от 26.12.2011 N 1732 комиссии по противодействию коррупции рекомендуется рассмотреть, а также утвердить аналитическую справку на ближайшем заседании комиссии.</w:t>
      </w:r>
    </w:p>
    <w:p w14:paraId="0DCD953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9" w:name="539"/>
      <w:bookmarkEnd w:id="259"/>
      <w:r>
        <w:rPr>
          <w:rFonts w:ascii="Arial" w:hAnsi="Arial" w:cs="Arial"/>
          <w:color w:val="000000"/>
        </w:rPr>
        <w:t>В целях повышения общей прозрачности деятельности вообще и гласности в сфере антикоррупционной работы в частности аналитическая справка с учетом интересов обеспечения защиты служебной (корпоративной) информации ограниченного распространения и иной охраняемой законодательством Республики Беларусь тайны может быть размещена на интернет-ресурсе государственного органа, организации.</w:t>
      </w:r>
    </w:p>
    <w:p w14:paraId="22E2153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1077"/>
        <w:jc w:val="both"/>
        <w:rPr>
          <w:rFonts w:ascii="Arial" w:hAnsi="Arial" w:cs="Arial"/>
          <w:color w:val="000000"/>
        </w:rPr>
      </w:pPr>
      <w:bookmarkStart w:id="260" w:name="272"/>
      <w:bookmarkEnd w:id="260"/>
      <w:r>
        <w:rPr>
          <w:rFonts w:ascii="Arial" w:hAnsi="Arial" w:cs="Arial"/>
          <w:color w:val="000000"/>
        </w:rPr>
        <w:t> </w:t>
      </w:r>
    </w:p>
    <w:p w14:paraId="56553F6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61" w:name="273"/>
      <w:bookmarkEnd w:id="261"/>
      <w:r>
        <w:rPr>
          <w:rFonts w:ascii="Arial" w:hAnsi="Arial" w:cs="Arial"/>
          <w:b/>
          <w:bCs/>
          <w:color w:val="000000"/>
        </w:rPr>
        <w:t>4. Оценка выявленных коррупционных риско</w:t>
      </w:r>
      <w:r>
        <w:rPr>
          <w:rFonts w:ascii="Arial" w:hAnsi="Arial" w:cs="Arial"/>
          <w:color w:val="000000"/>
        </w:rPr>
        <w:t>в</w:t>
      </w:r>
    </w:p>
    <w:p w14:paraId="1F6DB9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1077"/>
        <w:jc w:val="both"/>
        <w:rPr>
          <w:rFonts w:ascii="Arial" w:hAnsi="Arial" w:cs="Arial"/>
          <w:color w:val="000000"/>
        </w:rPr>
      </w:pPr>
      <w:bookmarkStart w:id="262" w:name="274"/>
      <w:bookmarkEnd w:id="262"/>
      <w:r>
        <w:rPr>
          <w:rFonts w:ascii="Arial" w:hAnsi="Arial" w:cs="Arial"/>
          <w:color w:val="000000"/>
        </w:rPr>
        <w:t> </w:t>
      </w:r>
    </w:p>
    <w:p w14:paraId="4F79976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540"/>
      <w:bookmarkEnd w:id="263"/>
      <w:r>
        <w:rPr>
          <w:rFonts w:ascii="Arial" w:hAnsi="Arial" w:cs="Arial"/>
          <w:color w:val="000000"/>
        </w:rPr>
        <w:t>Процесс оценки выявленных коррупционных рисков проводится в целях выделения наиболее значимых рисков, которые могут негативно повлиять на уровень коррупции в объекте анализа.</w:t>
      </w:r>
    </w:p>
    <w:p w14:paraId="06B193E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4" w:name="541"/>
      <w:bookmarkEnd w:id="264"/>
      <w:r>
        <w:rPr>
          <w:rFonts w:ascii="Arial" w:hAnsi="Arial" w:cs="Arial"/>
          <w:color w:val="000000"/>
        </w:rPr>
        <w:t xml:space="preserve">Риски оцениваются с точки зрения вероятности или частоты их наступления и влияния. Расчет уровня риска производится следующим образом: </w:t>
      </w:r>
      <w:r>
        <w:rPr>
          <w:rFonts w:ascii="Arial" w:hAnsi="Arial" w:cs="Arial"/>
          <w:b/>
          <w:bCs/>
          <w:color w:val="000000"/>
        </w:rPr>
        <w:t>уровень риска = вероятность * влияние</w:t>
      </w:r>
      <w:r>
        <w:rPr>
          <w:rFonts w:ascii="Arial" w:hAnsi="Arial" w:cs="Arial"/>
          <w:color w:val="000000"/>
        </w:rPr>
        <w:t>.</w:t>
      </w:r>
    </w:p>
    <w:p w14:paraId="6582A2D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5" w:name="542"/>
      <w:bookmarkEnd w:id="265"/>
      <w:r>
        <w:rPr>
          <w:rFonts w:ascii="Arial" w:hAnsi="Arial" w:cs="Arial"/>
          <w:color w:val="000000"/>
        </w:rPr>
        <w:t>Расчет уровня рисков производится уполномоченным лицом и членами рабочей группы. К расчету также могут привлекаться структурные подразделения объекта анализа.</w:t>
      </w:r>
    </w:p>
    <w:p w14:paraId="5FAEAB6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6" w:name="545"/>
      <w:bookmarkEnd w:id="266"/>
      <w:r>
        <w:rPr>
          <w:rFonts w:ascii="Arial" w:hAnsi="Arial" w:cs="Arial"/>
          <w:color w:val="000000"/>
        </w:rPr>
        <w:t> </w:t>
      </w:r>
    </w:p>
    <w:p w14:paraId="4AF1CA2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Arial" w:hAnsi="Arial" w:cs="Arial"/>
          <w:b/>
          <w:bCs/>
          <w:color w:val="000000"/>
        </w:rPr>
      </w:pPr>
      <w:bookmarkStart w:id="267" w:name="281"/>
      <w:bookmarkEnd w:id="267"/>
      <w:r>
        <w:rPr>
          <w:rFonts w:ascii="Arial" w:hAnsi="Arial" w:cs="Arial"/>
          <w:b/>
          <w:bCs/>
          <w:color w:val="000000"/>
        </w:rPr>
        <w:t>4.1. Критерии оценки вероятности рисков</w:t>
      </w:r>
    </w:p>
    <w:p w14:paraId="38E54E8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Arial" w:hAnsi="Arial" w:cs="Arial"/>
          <w:color w:val="000000"/>
        </w:rPr>
      </w:pPr>
      <w:bookmarkStart w:id="268" w:name="447"/>
      <w:bookmarkEnd w:id="268"/>
      <w:r>
        <w:rPr>
          <w:rFonts w:ascii="Arial" w:hAnsi="Arial" w:cs="Arial"/>
          <w:color w:val="000000"/>
        </w:rPr>
        <w:t> </w:t>
      </w:r>
    </w:p>
    <w:p w14:paraId="50025D6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1200"/>
        <w:jc w:val="right"/>
        <w:rPr>
          <w:rFonts w:ascii="Arial" w:hAnsi="Arial" w:cs="Arial"/>
          <w:color w:val="000000"/>
        </w:rPr>
      </w:pPr>
      <w:bookmarkStart w:id="269" w:name="446"/>
      <w:bookmarkEnd w:id="269"/>
      <w:r>
        <w:rPr>
          <w:rFonts w:ascii="Arial" w:hAnsi="Arial" w:cs="Arial"/>
          <w:color w:val="000000"/>
        </w:rPr>
        <w:t>Таблица 2</w:t>
      </w:r>
    </w:p>
    <w:p w14:paraId="05C5C90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70" w:name="544"/>
      <w:bookmarkEnd w:id="27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3458"/>
        <w:gridCol w:w="3174"/>
      </w:tblGrid>
      <w:tr w:rsidR="004A0D9D" w:rsidRPr="003949D2" w14:paraId="07B9FC84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EDE0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7D8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Значение критерия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710C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Частота реализации риска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BD51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Вероятность реализации риска</w:t>
            </w:r>
          </w:p>
        </w:tc>
      </w:tr>
      <w:tr w:rsidR="004A0D9D" w:rsidRPr="003949D2" w14:paraId="286EBEE9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919C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18F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Очень редко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CEF7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Единичные события, зарегистрированные в деятельности объекта анализа за последние 5 лет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B126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Событие может реализоваться в очень редких случаях или с вероятностью реализации до 1%</w:t>
            </w:r>
          </w:p>
        </w:tc>
      </w:tr>
      <w:tr w:rsidR="004A0D9D" w:rsidRPr="003949D2" w14:paraId="3B54F5DD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A5E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007D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Редко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9399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Мало известных или зарегистрированных инцидентов в деятельности объекта анализа в течение последних 2 лет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2D1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Событие может реализоваться в редких случаях или с вероятностью реализации от 1 до 10%</w:t>
            </w:r>
          </w:p>
        </w:tc>
      </w:tr>
      <w:tr w:rsidR="004A0D9D" w:rsidRPr="003949D2" w14:paraId="6AD7E297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EF8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A22D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Время от времени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7D4F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Событие зарегистрировано в деятельности объекта анализа в течение последнего года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2FF4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Вероятность реализации риска от 11 до 25%</w:t>
            </w:r>
          </w:p>
        </w:tc>
      </w:tr>
      <w:tr w:rsidR="004A0D9D" w:rsidRPr="003949D2" w14:paraId="19A3C6BF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CA39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D48C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Часто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CC6B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Событие зарегистрировано в деятельности объекта анализа в течение последнего полугода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F3F1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Вероятность реализации риска от 26 до 50%</w:t>
            </w:r>
          </w:p>
        </w:tc>
      </w:tr>
      <w:tr w:rsidR="004A0D9D" w:rsidRPr="003949D2" w14:paraId="36280AB7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C571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6E98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Очень часто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A7CE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Событие зарегистрировано в течение последнего полугода неоднократно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7342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Вероятность реализации события очень высокая - от 50 до 100%</w:t>
            </w:r>
          </w:p>
        </w:tc>
      </w:tr>
    </w:tbl>
    <w:p w14:paraId="392FECD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71" w:name="547"/>
      <w:bookmarkEnd w:id="271"/>
      <w:r>
        <w:rPr>
          <w:rFonts w:ascii="Arial" w:hAnsi="Arial" w:cs="Arial"/>
          <w:color w:val="000000"/>
        </w:rPr>
        <w:t> </w:t>
      </w:r>
    </w:p>
    <w:p w14:paraId="7E9CDBB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272" w:name="284"/>
      <w:bookmarkEnd w:id="272"/>
      <w:r>
        <w:rPr>
          <w:rFonts w:ascii="Arial" w:hAnsi="Arial" w:cs="Arial"/>
          <w:b/>
          <w:bCs/>
          <w:color w:val="000000"/>
        </w:rPr>
        <w:t>4.2. Критерии оценки влияния рисков</w:t>
      </w:r>
    </w:p>
    <w:p w14:paraId="62A550B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73" w:name="450"/>
      <w:bookmarkEnd w:id="273"/>
      <w:r>
        <w:rPr>
          <w:rFonts w:ascii="Arial" w:hAnsi="Arial" w:cs="Arial"/>
          <w:color w:val="000000"/>
        </w:rPr>
        <w:t> </w:t>
      </w:r>
    </w:p>
    <w:p w14:paraId="7B15A17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274" w:name="429"/>
      <w:bookmarkEnd w:id="274"/>
      <w:r>
        <w:rPr>
          <w:rFonts w:ascii="Arial" w:hAnsi="Arial" w:cs="Arial"/>
          <w:color w:val="000000"/>
        </w:rPr>
        <w:t>Таблица 3</w:t>
      </w:r>
    </w:p>
    <w:p w14:paraId="07DF51A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75" w:name="451"/>
      <w:bookmarkEnd w:id="27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3004"/>
        <w:gridCol w:w="3174"/>
      </w:tblGrid>
      <w:tr w:rsidR="004A0D9D" w:rsidRPr="003949D2" w14:paraId="6A122164" w14:textId="777777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C593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6B1B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Степень влияния риска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CE8E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характеристика последствий риска</w:t>
            </w:r>
          </w:p>
        </w:tc>
        <w:tc>
          <w:tcPr>
            <w:tcW w:w="3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F2EC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Комплаенс (соблюдение требований)</w:t>
            </w:r>
          </w:p>
        </w:tc>
      </w:tr>
      <w:tr w:rsidR="004A0D9D" w:rsidRPr="003949D2" w14:paraId="42941567" w14:textId="7777777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7F3C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F690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Незначительное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D7F6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 xml:space="preserve">Отсутствие каких-либо негативных </w:t>
            </w: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последствий в случае реализации риска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C381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1. Незначительное нарушение </w:t>
            </w: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регуляторных требований.</w:t>
            </w:r>
          </w:p>
          <w:p w14:paraId="00F0259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2. Отсутствие оснований для привлечения работников объекта анализа к административной и (или) иной ответственности.</w:t>
            </w:r>
          </w:p>
          <w:p w14:paraId="17DDFE6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3. Отсутствие штрафов, пеней, неустоек и других финансовых потерь в отношении объекта анализа.</w:t>
            </w:r>
          </w:p>
          <w:p w14:paraId="3A7556E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4. Отсутствие нарушения прав и законных интересов физических и юридических лиц</w:t>
            </w:r>
          </w:p>
        </w:tc>
      </w:tr>
      <w:tr w:rsidR="004A0D9D" w:rsidRPr="003949D2" w14:paraId="17263EC1" w14:textId="7777777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5F00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60DB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Заметное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80E4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Последствия от реализации риска несущественны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87EA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1. Малое нарушение регуляторных требований.</w:t>
            </w:r>
          </w:p>
          <w:p w14:paraId="440FA3C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2. Предупреждения о возможном наложении штрафов на работников объекта анализа.</w:t>
            </w:r>
          </w:p>
          <w:p w14:paraId="270C1FA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 xml:space="preserve">3. Получение предупреждения о возможном наложении штрафов, пеней, неустоек и выявление других финансовых нарушений в отношении </w:t>
            </w:r>
            <w:proofErr w:type="spellStart"/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объектае</w:t>
            </w:r>
            <w:proofErr w:type="spellEnd"/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анализа</w:t>
            </w:r>
          </w:p>
        </w:tc>
      </w:tr>
      <w:tr w:rsidR="004A0D9D" w:rsidRPr="003949D2" w14:paraId="6F918861" w14:textId="7777777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22EB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793C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Крупное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C021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Последствия от реализации риска значительные, но могут быть полностью исправлены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9284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1. Неоднократное нарушение регуляторных требований, которое может привести к наложению (взысканию) штрафов, пеней, неустоек и других финансовых нарушений. 2. Взыскание штрафов с работников объектов анализа.</w:t>
            </w:r>
          </w:p>
          <w:p w14:paraId="437B62F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3. Нарушение прав и интересов физических и юридических лиц</w:t>
            </w:r>
          </w:p>
        </w:tc>
      </w:tr>
      <w:tr w:rsidR="004A0D9D" w:rsidRPr="003949D2" w14:paraId="1B08BA50" w14:textId="7777777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9F6D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F447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Критическое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3339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Последствия от реализации риска очень значительные, но могут быть исправлены до определенной степени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F334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1. Серьезное нарушение регуляторных требований, вследствие чего объект анализа обязан платить штрафы, пени, неустойки и т.д.</w:t>
            </w:r>
          </w:p>
          <w:p w14:paraId="4EDFC5B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2. Привлечение работника объекта анализа к административной или уголовной ответственности.</w:t>
            </w:r>
          </w:p>
          <w:p w14:paraId="79B11F3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3. Нарушение прав и интересов физических и юридических лиц</w:t>
            </w:r>
          </w:p>
        </w:tc>
      </w:tr>
      <w:tr w:rsidR="004A0D9D" w:rsidRPr="003949D2" w14:paraId="47F89D38" w14:textId="7777777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03D7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2029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Катастрофическое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A8CA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Последствия от реализации риска очень значительные и не могут быть исправлены, риск влечет некомпенсируемые последствия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30A8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1. Крайнее нарушение регуляторных требований или несколько финансовых нарушений, повлекших крупные штрафы, пени, неустойки, прочие выплаты, а также отзыв выданных лицензий (в случае их наличия).</w:t>
            </w:r>
          </w:p>
          <w:p w14:paraId="0DB6F24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2. Неоднократное привлечение работников объекта анализа к административной или уголовной либо иной ответственности.</w:t>
            </w:r>
          </w:p>
          <w:p w14:paraId="3E79212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9D2">
              <w:rPr>
                <w:rFonts w:ascii="Arial" w:hAnsi="Arial" w:cs="Arial"/>
                <w:color w:val="000000"/>
                <w:sz w:val="18"/>
                <w:szCs w:val="18"/>
              </w:rPr>
              <w:t>3. Нарушение прав и законных интересов физических и юридических лиц</w:t>
            </w:r>
          </w:p>
        </w:tc>
      </w:tr>
    </w:tbl>
    <w:p w14:paraId="27B449F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1077"/>
        <w:jc w:val="both"/>
        <w:rPr>
          <w:rFonts w:ascii="Arial" w:hAnsi="Arial" w:cs="Arial"/>
          <w:color w:val="000000"/>
        </w:rPr>
      </w:pPr>
      <w:bookmarkStart w:id="276" w:name="287"/>
      <w:bookmarkEnd w:id="276"/>
      <w:r>
        <w:rPr>
          <w:rFonts w:ascii="Arial" w:hAnsi="Arial" w:cs="Arial"/>
          <w:color w:val="000000"/>
        </w:rPr>
        <w:t> </w:t>
      </w:r>
    </w:p>
    <w:p w14:paraId="4A8602F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549"/>
      <w:bookmarkEnd w:id="277"/>
      <w:r>
        <w:rPr>
          <w:rFonts w:ascii="Arial" w:hAnsi="Arial" w:cs="Arial"/>
          <w:color w:val="000000"/>
        </w:rPr>
        <w:t>Приведенные критерии оценок вероятности и влияния рисков имеют наглядный характер. Рекомендуется их разрабатывать индивидуально под каждый государственный орган и организацию с учетом специфики предназначения (деятельности).</w:t>
      </w:r>
    </w:p>
    <w:p w14:paraId="122C71B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8" w:name="550"/>
      <w:bookmarkEnd w:id="278"/>
      <w:r>
        <w:rPr>
          <w:rFonts w:ascii="Arial" w:hAnsi="Arial" w:cs="Arial"/>
          <w:color w:val="000000"/>
        </w:rPr>
        <w:t xml:space="preserve">Присвоенные по итогам оценки рисков баллы являются основой для построения карты рисков объекта анализа. </w:t>
      </w:r>
      <w:r>
        <w:rPr>
          <w:rFonts w:ascii="Arial" w:hAnsi="Arial" w:cs="Arial"/>
          <w:b/>
          <w:bCs/>
          <w:color w:val="000000"/>
        </w:rPr>
        <w:t>Карта рисков</w:t>
      </w:r>
      <w:r>
        <w:rPr>
          <w:rFonts w:ascii="Arial" w:hAnsi="Arial" w:cs="Arial"/>
          <w:color w:val="000000"/>
        </w:rPr>
        <w:t xml:space="preserve"> представляет собой графическое изображение подверженности объекта анализа коррупционным рискам. Разделяется на несколько частей, выделенных разным цветом:</w:t>
      </w:r>
    </w:p>
    <w:p w14:paraId="4E13EF0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9" w:name="551"/>
      <w:bookmarkEnd w:id="279"/>
      <w:r>
        <w:rPr>
          <w:rFonts w:ascii="Arial" w:hAnsi="Arial" w:cs="Arial"/>
          <w:color w:val="000000"/>
        </w:rPr>
        <w:t xml:space="preserve">- красная зона - риски, которые являются критичными и (или) катастрофичными для объекта анализа либо в связи с высокой вероятностью наступления, либо в связи с серьезным потенциалом последствий, которые могут повлиять на уровень коррупции в </w:t>
      </w:r>
      <w:r>
        <w:rPr>
          <w:rFonts w:ascii="Arial" w:hAnsi="Arial" w:cs="Arial"/>
          <w:color w:val="000000"/>
        </w:rPr>
        <w:lastRenderedPageBreak/>
        <w:t xml:space="preserve">объекте анализа, либо в связи с наличием обоих </w:t>
      </w:r>
      <w:proofErr w:type="gramStart"/>
      <w:r>
        <w:rPr>
          <w:rFonts w:ascii="Arial" w:hAnsi="Arial" w:cs="Arial"/>
          <w:color w:val="000000"/>
        </w:rPr>
        <w:t>факторов;-</w:t>
      </w:r>
      <w:proofErr w:type="gramEnd"/>
      <w:r>
        <w:rPr>
          <w:rFonts w:ascii="Arial" w:hAnsi="Arial" w:cs="Arial"/>
          <w:color w:val="000000"/>
        </w:rPr>
        <w:t xml:space="preserve"> оранжевая зона - риски, которые имеют высокую вероятность наступления или крупное потенциальное влияние на уровень коррупции в объекте анализа;</w:t>
      </w:r>
    </w:p>
    <w:p w14:paraId="6DC575B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0" w:name="552"/>
      <w:bookmarkEnd w:id="280"/>
      <w:r>
        <w:rPr>
          <w:rFonts w:ascii="Arial" w:hAnsi="Arial" w:cs="Arial"/>
          <w:color w:val="000000"/>
        </w:rPr>
        <w:t>- желтая зона - риски, которые имеют среднюю вероятность наступления или среднее потенциальное влияние на уровень коррупции в объекте анализа;</w:t>
      </w:r>
    </w:p>
    <w:p w14:paraId="4B420B0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1" w:name="553"/>
      <w:bookmarkEnd w:id="281"/>
      <w:r>
        <w:rPr>
          <w:rFonts w:ascii="Arial" w:hAnsi="Arial" w:cs="Arial"/>
          <w:color w:val="000000"/>
        </w:rPr>
        <w:t>- зеленая зона - риски, которые имеют низкую вероятность наступления и (или) не оказывают значительного влияния на уровень коррупции в объекте анализа.</w:t>
      </w:r>
    </w:p>
    <w:p w14:paraId="3FAEF1A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282" w:name="295"/>
      <w:bookmarkEnd w:id="282"/>
      <w:r>
        <w:rPr>
          <w:rFonts w:ascii="Arial" w:hAnsi="Arial" w:cs="Arial"/>
          <w:color w:val="000000"/>
        </w:rPr>
        <w:t> </w:t>
      </w:r>
    </w:p>
    <w:p w14:paraId="3578634A" w14:textId="5D1BCE34" w:rsidR="004A0D9D" w:rsidRDefault="000B1C8C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83" w:name="431"/>
      <w:bookmarkEnd w:id="283"/>
      <w:r>
        <w:rPr>
          <w:rFonts w:ascii="Arial" w:hAnsi="Arial" w:cs="Arial"/>
          <w:noProof/>
          <w:color w:val="000000"/>
        </w:rPr>
        <w:drawing>
          <wp:inline distT="0" distB="0" distL="0" distR="0" wp14:anchorId="0279874C" wp14:editId="0C60153F">
            <wp:extent cx="5760720" cy="43205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D9D">
        <w:rPr>
          <w:rFonts w:ascii="Arial" w:hAnsi="Arial" w:cs="Arial"/>
          <w:color w:val="000000"/>
        </w:rPr>
        <w:t> </w:t>
      </w:r>
    </w:p>
    <w:p w14:paraId="6685D16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84" w:name="298"/>
      <w:bookmarkEnd w:id="284"/>
      <w:r>
        <w:rPr>
          <w:rFonts w:ascii="Arial" w:hAnsi="Arial" w:cs="Arial"/>
          <w:color w:val="000000"/>
        </w:rPr>
        <w:t>Схема. Карта рисков</w:t>
      </w:r>
    </w:p>
    <w:p w14:paraId="36BEDC6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557"/>
      <w:bookmarkEnd w:id="285"/>
      <w:r>
        <w:rPr>
          <w:rFonts w:ascii="Arial" w:hAnsi="Arial" w:cs="Arial"/>
          <w:color w:val="000000"/>
        </w:rPr>
        <w:t>Карта рисков объекта анализа позволяет:</w:t>
      </w:r>
    </w:p>
    <w:p w14:paraId="531ACEB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558"/>
      <w:bookmarkEnd w:id="286"/>
      <w:r>
        <w:rPr>
          <w:rFonts w:ascii="Arial" w:hAnsi="Arial" w:cs="Arial"/>
          <w:color w:val="000000"/>
        </w:rPr>
        <w:t>- оценить относительную значимость каждого риска по сравнению с другими рисками;</w:t>
      </w:r>
    </w:p>
    <w:p w14:paraId="4678EDC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559"/>
      <w:bookmarkEnd w:id="287"/>
      <w:r>
        <w:rPr>
          <w:rFonts w:ascii="Arial" w:hAnsi="Arial" w:cs="Arial"/>
          <w:color w:val="000000"/>
        </w:rPr>
        <w:t>- выделить риски, которые являются ключевыми и требуют принятия мер в приоритетном порядке;</w:t>
      </w:r>
    </w:p>
    <w:p w14:paraId="284737C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560"/>
      <w:bookmarkEnd w:id="288"/>
      <w:r>
        <w:rPr>
          <w:rFonts w:ascii="Arial" w:hAnsi="Arial" w:cs="Arial"/>
          <w:color w:val="000000"/>
        </w:rPr>
        <w:t>- обеспечить в случае необходимости распределение человеческих и финансовых ресурсов.</w:t>
      </w:r>
    </w:p>
    <w:p w14:paraId="4F33752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561"/>
      <w:bookmarkEnd w:id="289"/>
      <w:r>
        <w:rPr>
          <w:rFonts w:ascii="Arial" w:hAnsi="Arial" w:cs="Arial"/>
          <w:color w:val="000000"/>
        </w:rPr>
        <w:t>Вместе с тем следует отметить, что предпосылки к любым коррупционным проявлениям требуют управленческого воздействия.</w:t>
      </w:r>
    </w:p>
    <w:p w14:paraId="04224B4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290" w:name="301"/>
      <w:bookmarkEnd w:id="290"/>
      <w:r>
        <w:rPr>
          <w:rFonts w:ascii="Arial" w:hAnsi="Arial" w:cs="Arial"/>
          <w:color w:val="000000"/>
        </w:rPr>
        <w:t> </w:t>
      </w:r>
    </w:p>
    <w:p w14:paraId="32AEFB7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291" w:name="302"/>
      <w:bookmarkEnd w:id="291"/>
      <w:r>
        <w:rPr>
          <w:rFonts w:ascii="Arial" w:hAnsi="Arial" w:cs="Arial"/>
          <w:b/>
          <w:bCs/>
          <w:color w:val="000000"/>
        </w:rPr>
        <w:t>5. Устранение и минимизация коррупционных рисков</w:t>
      </w:r>
    </w:p>
    <w:p w14:paraId="7DF3180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92" w:name="432"/>
      <w:bookmarkEnd w:id="292"/>
      <w:r>
        <w:rPr>
          <w:rFonts w:ascii="Arial" w:hAnsi="Arial" w:cs="Arial"/>
          <w:color w:val="000000"/>
        </w:rPr>
        <w:t> </w:t>
      </w:r>
    </w:p>
    <w:p w14:paraId="71ED4C5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293" w:name="303"/>
      <w:bookmarkEnd w:id="293"/>
      <w:r>
        <w:rPr>
          <w:rFonts w:ascii="Arial" w:hAnsi="Arial" w:cs="Arial"/>
          <w:b/>
          <w:bCs/>
          <w:color w:val="000000"/>
        </w:rPr>
        <w:t>5.1. Разработка плана мероприятий по устранению выявленных коррупционных рисков</w:t>
      </w:r>
    </w:p>
    <w:p w14:paraId="379654E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294" w:name="433"/>
      <w:bookmarkEnd w:id="294"/>
      <w:r>
        <w:rPr>
          <w:rFonts w:ascii="Arial" w:hAnsi="Arial" w:cs="Arial"/>
          <w:color w:val="000000"/>
        </w:rPr>
        <w:t> </w:t>
      </w:r>
    </w:p>
    <w:p w14:paraId="1D43539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5" w:name="562"/>
      <w:bookmarkEnd w:id="295"/>
      <w:r>
        <w:rPr>
          <w:rFonts w:ascii="Arial" w:hAnsi="Arial" w:cs="Arial"/>
          <w:color w:val="000000"/>
        </w:rPr>
        <w:t>Уполномоченному лицу совместно со структурными подразделениями объекта анализа рекомендуется в течение 10 рабочих дней со дня подписания аналитической справки разработать план мероприятий по устранению причин и условий, способствующих совершению коррупционных правонарушений, выявленных по результатам анализа коррупционных рисков (далее - план мероприятий) (приложение 3).</w:t>
      </w:r>
    </w:p>
    <w:p w14:paraId="3AEBB55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6" w:name="563"/>
      <w:bookmarkEnd w:id="296"/>
      <w:r>
        <w:rPr>
          <w:rFonts w:ascii="Arial" w:hAnsi="Arial" w:cs="Arial"/>
          <w:color w:val="000000"/>
        </w:rPr>
        <w:t>Мероприятия должны иметь конкретный характер и быть достаточными для устранения выявленных коррупционных рисков.</w:t>
      </w:r>
    </w:p>
    <w:p w14:paraId="7F993F8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7" w:name="564"/>
      <w:bookmarkEnd w:id="297"/>
      <w:r>
        <w:rPr>
          <w:rFonts w:ascii="Arial" w:hAnsi="Arial" w:cs="Arial"/>
          <w:color w:val="000000"/>
        </w:rPr>
        <w:lastRenderedPageBreak/>
        <w:t>Сроки проведения мероприятий должны быть разумными и не превышать год. Сроки проведения мероприятий, связанных с внесением изменений и дополнений в законодательные акты либо с разработкой нового акта, определяются исходя из правил законотворческой деятельности. Сроки проведения мероприятий, связанных с разработкой информационной системы, следует определять исходя из процедур бюджетного планирования.</w:t>
      </w:r>
    </w:p>
    <w:p w14:paraId="3527AF6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565"/>
      <w:bookmarkEnd w:id="298"/>
      <w:r>
        <w:rPr>
          <w:rFonts w:ascii="Arial" w:hAnsi="Arial" w:cs="Arial"/>
          <w:color w:val="000000"/>
        </w:rPr>
        <w:t>План мероприятий утверждается руководителем государственного органа, организации.</w:t>
      </w:r>
    </w:p>
    <w:p w14:paraId="4E800E0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566"/>
      <w:bookmarkEnd w:id="299"/>
      <w:r>
        <w:rPr>
          <w:rFonts w:ascii="Arial" w:hAnsi="Arial" w:cs="Arial"/>
          <w:color w:val="000000"/>
        </w:rPr>
        <w:t>В случае создания в государственном органе, организации комиссии по противодействию коррупции план по устранению выявленных коррупционных рисков рекомендуется рассмотреть, а также утвердить на ближайшем заседании комиссии.</w:t>
      </w:r>
    </w:p>
    <w:p w14:paraId="21A8058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567"/>
      <w:bookmarkEnd w:id="300"/>
      <w:r>
        <w:rPr>
          <w:rFonts w:ascii="Arial" w:hAnsi="Arial" w:cs="Arial"/>
          <w:color w:val="000000"/>
        </w:rPr>
        <w:t>Мероприятия по устранению коррупционных рисков могут быть включены самостоятельным разделом в общий план антикоррупционной деятельности, как правило разрабатываемый в государственных органах и организациях.</w:t>
      </w:r>
    </w:p>
    <w:p w14:paraId="45E9E39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568"/>
      <w:bookmarkEnd w:id="301"/>
      <w:r>
        <w:rPr>
          <w:rFonts w:ascii="Arial" w:hAnsi="Arial" w:cs="Arial"/>
          <w:color w:val="000000"/>
        </w:rPr>
        <w:t> </w:t>
      </w:r>
    </w:p>
    <w:p w14:paraId="38CCEAE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02" w:name="313"/>
      <w:bookmarkEnd w:id="302"/>
      <w:r>
        <w:rPr>
          <w:rFonts w:ascii="Arial" w:hAnsi="Arial" w:cs="Arial"/>
          <w:b/>
          <w:bCs/>
          <w:color w:val="000000"/>
        </w:rPr>
        <w:t>5.2. Мониторинг исполнения рекомендаций</w:t>
      </w:r>
    </w:p>
    <w:p w14:paraId="285B771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03" w:name="434"/>
      <w:bookmarkEnd w:id="303"/>
      <w:r>
        <w:rPr>
          <w:rFonts w:ascii="Arial" w:hAnsi="Arial" w:cs="Arial"/>
          <w:color w:val="000000"/>
        </w:rPr>
        <w:t> </w:t>
      </w:r>
    </w:p>
    <w:p w14:paraId="57F5179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4" w:name="569"/>
      <w:bookmarkEnd w:id="304"/>
      <w:r>
        <w:rPr>
          <w:rFonts w:ascii="Arial" w:hAnsi="Arial" w:cs="Arial"/>
          <w:color w:val="000000"/>
        </w:rPr>
        <w:t>Мониторинг исполнения рекомендаций уполномоченным лицом (далее - мониторинг) рекомендуется проводить в течение года со дня утверждения аналитической справки. Наиболее целесообразно эту работу поручать уполномоченному лицу (рабочей группе), проводившему анализ коррупционных рисков.</w:t>
      </w:r>
    </w:p>
    <w:p w14:paraId="7096819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5" w:name="570"/>
      <w:bookmarkEnd w:id="305"/>
      <w:r>
        <w:rPr>
          <w:rFonts w:ascii="Arial" w:hAnsi="Arial" w:cs="Arial"/>
          <w:color w:val="000000"/>
        </w:rPr>
        <w:t>Структурным подразделениям объекта анализа следует ежеквартально со дня подписания аналитической справки не позднее, например, 5-го числа месяца, следующего за отчетным периодом, направлять уполномоченному лицу (руководителю рабочей группы) или же непосредственно в комиссию по противодействию коррупции информацию о ходе исполнения рекомендаций (приложение 4) и подтверждающие документы.</w:t>
      </w:r>
    </w:p>
    <w:p w14:paraId="58F7B07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6" w:name="571"/>
      <w:bookmarkEnd w:id="306"/>
      <w:r>
        <w:rPr>
          <w:rFonts w:ascii="Arial" w:hAnsi="Arial" w:cs="Arial"/>
          <w:color w:val="000000"/>
        </w:rPr>
        <w:t>Информацию о ходе выполнения рекомендаций, подтверждающие документы необходимо рассмотреть в течение 5 рабочих дней со дня поступления или на ближайшем заседании комиссии по противодействию коррупции и сформировать результаты мониторинга (дать оценку) (приложение 5).</w:t>
      </w:r>
    </w:p>
    <w:p w14:paraId="3138A64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7" w:name="572"/>
      <w:bookmarkEnd w:id="307"/>
      <w:r>
        <w:rPr>
          <w:rFonts w:ascii="Arial" w:hAnsi="Arial" w:cs="Arial"/>
          <w:color w:val="000000"/>
        </w:rPr>
        <w:t>По итогам рассмотрения информации объекта анализа определяется статус выполнения рекомендаций.</w:t>
      </w:r>
    </w:p>
    <w:p w14:paraId="6550F49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573"/>
      <w:bookmarkEnd w:id="308"/>
      <w:r>
        <w:rPr>
          <w:rFonts w:ascii="Arial" w:hAnsi="Arial" w:cs="Arial"/>
          <w:color w:val="000000"/>
        </w:rPr>
        <w:t xml:space="preserve">Рекомендация признается выполненной </w:t>
      </w:r>
      <w:r>
        <w:rPr>
          <w:rFonts w:ascii="Arial" w:hAnsi="Arial" w:cs="Arial"/>
          <w:b/>
          <w:bCs/>
          <w:color w:val="000000"/>
        </w:rPr>
        <w:t>в полном объеме</w:t>
      </w:r>
      <w:r>
        <w:rPr>
          <w:rFonts w:ascii="Arial" w:hAnsi="Arial" w:cs="Arial"/>
          <w:color w:val="000000"/>
        </w:rPr>
        <w:t xml:space="preserve"> в случае устранения выявленного коррупционного риска посредством проведения мероприятия в соответствии с формой завершения, указанной в плане мероприятий.</w:t>
      </w:r>
    </w:p>
    <w:p w14:paraId="6DC3770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574"/>
      <w:bookmarkEnd w:id="309"/>
      <w:r>
        <w:rPr>
          <w:rFonts w:ascii="Arial" w:hAnsi="Arial" w:cs="Arial"/>
          <w:color w:val="000000"/>
        </w:rPr>
        <w:t xml:space="preserve">Рекомендация признается выполненной </w:t>
      </w:r>
      <w:r>
        <w:rPr>
          <w:rFonts w:ascii="Arial" w:hAnsi="Arial" w:cs="Arial"/>
          <w:b/>
          <w:bCs/>
          <w:color w:val="000000"/>
        </w:rPr>
        <w:t>частично</w:t>
      </w:r>
      <w:r>
        <w:rPr>
          <w:rFonts w:ascii="Arial" w:hAnsi="Arial" w:cs="Arial"/>
          <w:color w:val="000000"/>
        </w:rPr>
        <w:t xml:space="preserve"> в случае неустранения или минимизации в незначительной степени выявленного коррупционного риска вследствие проведения мероприятия не в полном объеме в соответствии с формой завершения, указанной в плане мероприятий.</w:t>
      </w:r>
    </w:p>
    <w:p w14:paraId="7EB945C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575"/>
      <w:bookmarkEnd w:id="310"/>
      <w:r>
        <w:rPr>
          <w:rFonts w:ascii="Arial" w:hAnsi="Arial" w:cs="Arial"/>
          <w:color w:val="000000"/>
        </w:rPr>
        <w:t xml:space="preserve">Рекомендация признается </w:t>
      </w:r>
      <w:r>
        <w:rPr>
          <w:rFonts w:ascii="Arial" w:hAnsi="Arial" w:cs="Arial"/>
          <w:b/>
          <w:bCs/>
          <w:color w:val="000000"/>
        </w:rPr>
        <w:t>невыполненной</w:t>
      </w:r>
      <w:r>
        <w:rPr>
          <w:rFonts w:ascii="Arial" w:hAnsi="Arial" w:cs="Arial"/>
          <w:color w:val="000000"/>
        </w:rPr>
        <w:t xml:space="preserve"> в случае неустранения или отсутствия минимизации выявленного коррупционного риска вследствие непринятия мер по реализации пункта плана мероприятий,</w:t>
      </w:r>
    </w:p>
    <w:p w14:paraId="24B6595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576"/>
      <w:bookmarkEnd w:id="311"/>
      <w:r>
        <w:rPr>
          <w:rFonts w:ascii="Arial" w:hAnsi="Arial" w:cs="Arial"/>
          <w:color w:val="000000"/>
        </w:rPr>
        <w:t>Рекомендация признается утратившей актуальность в случае невозможности или нецелесообразности проведения мероприятия по объективным причинам (изменения в законодательстве, реорганизация или упразднение юридического лица, передача функций и т.д.).</w:t>
      </w:r>
    </w:p>
    <w:p w14:paraId="028DBF5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577"/>
      <w:bookmarkEnd w:id="312"/>
      <w:r>
        <w:rPr>
          <w:rFonts w:ascii="Arial" w:hAnsi="Arial" w:cs="Arial"/>
          <w:color w:val="000000"/>
        </w:rPr>
        <w:t>Результаты мониторинга выполнения рекомендаций вносятся руководителю государственного органа, организации или в комиссию по противодействию коррупции, а также направляются в структурные подразделения объекта анализа.</w:t>
      </w:r>
    </w:p>
    <w:p w14:paraId="12F3101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578"/>
      <w:bookmarkEnd w:id="313"/>
      <w:r>
        <w:rPr>
          <w:rFonts w:ascii="Arial" w:hAnsi="Arial" w:cs="Arial"/>
          <w:color w:val="000000"/>
        </w:rPr>
        <w:t>В случае невыполнения или неполного выполнения объектом анализа рекомендаций уполномоченное лицо для принятия мер реагирования вносит соответствующую информацию руководителю государственного органа, организации, курирующему деятельность объекта анализа.</w:t>
      </w:r>
    </w:p>
    <w:p w14:paraId="11BC991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579"/>
      <w:bookmarkEnd w:id="314"/>
      <w:r>
        <w:rPr>
          <w:rFonts w:ascii="Arial" w:hAnsi="Arial" w:cs="Arial"/>
          <w:color w:val="000000"/>
        </w:rPr>
        <w:t>В случае невыполнения или неполного выполнения объектом анализа рекомендаций по истечении года со дня утверждения плана мероприятий по объективным причинам уполномоченное лицо (рабочая группа) продолжает мониторинг до окончательного выполнения.</w:t>
      </w:r>
    </w:p>
    <w:p w14:paraId="0B49352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580"/>
      <w:bookmarkEnd w:id="315"/>
      <w:r>
        <w:rPr>
          <w:rFonts w:ascii="Arial" w:hAnsi="Arial" w:cs="Arial"/>
          <w:color w:val="000000"/>
        </w:rPr>
        <w:lastRenderedPageBreak/>
        <w:t>Информацию о результатах мониторинга плана мероприятий возможно размещать на интернет-ресурсе государственного органа, организации.</w:t>
      </w:r>
    </w:p>
    <w:p w14:paraId="128935C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585"/>
      <w:bookmarkEnd w:id="316"/>
      <w:r>
        <w:rPr>
          <w:rFonts w:ascii="Arial" w:hAnsi="Arial" w:cs="Arial"/>
          <w:color w:val="000000"/>
        </w:rPr>
        <w:t> </w:t>
      </w:r>
    </w:p>
    <w:p w14:paraId="34E0922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17" w:name="328"/>
      <w:bookmarkEnd w:id="317"/>
      <w:r>
        <w:rPr>
          <w:rFonts w:ascii="Arial" w:hAnsi="Arial" w:cs="Arial"/>
          <w:color w:val="000000"/>
        </w:rPr>
        <w:t> </w:t>
      </w:r>
    </w:p>
    <w:p w14:paraId="2654600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18" w:name="581"/>
      <w:bookmarkEnd w:id="318"/>
      <w:r>
        <w:rPr>
          <w:rFonts w:ascii="Arial" w:hAnsi="Arial" w:cs="Arial"/>
          <w:color w:val="000000"/>
        </w:rPr>
        <w:t> </w:t>
      </w:r>
    </w:p>
    <w:p w14:paraId="0DF4AF4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19" w:name="582"/>
      <w:bookmarkEnd w:id="319"/>
      <w:r>
        <w:rPr>
          <w:rFonts w:ascii="Arial" w:hAnsi="Arial" w:cs="Arial"/>
          <w:color w:val="000000"/>
        </w:rPr>
        <w:t> </w:t>
      </w:r>
    </w:p>
    <w:p w14:paraId="7EF6171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20" w:name="584"/>
      <w:bookmarkEnd w:id="320"/>
      <w:r>
        <w:rPr>
          <w:rFonts w:ascii="Arial" w:hAnsi="Arial" w:cs="Arial"/>
          <w:color w:val="000000"/>
        </w:rPr>
        <w:t> </w:t>
      </w:r>
    </w:p>
    <w:p w14:paraId="41E1437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21" w:name="329"/>
      <w:bookmarkEnd w:id="321"/>
      <w:r>
        <w:rPr>
          <w:rFonts w:ascii="Arial" w:hAnsi="Arial" w:cs="Arial"/>
          <w:color w:val="000000"/>
        </w:rPr>
        <w:t>Приложение 1</w:t>
      </w:r>
    </w:p>
    <w:p w14:paraId="79E72D2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22" w:name="330"/>
      <w:bookmarkEnd w:id="322"/>
      <w:r>
        <w:rPr>
          <w:rFonts w:ascii="Arial" w:hAnsi="Arial" w:cs="Arial"/>
          <w:color w:val="000000"/>
        </w:rPr>
        <w:t> </w:t>
      </w:r>
    </w:p>
    <w:p w14:paraId="34BB74E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23" w:name="331"/>
      <w:bookmarkEnd w:id="323"/>
      <w:r>
        <w:rPr>
          <w:rFonts w:ascii="Arial" w:hAnsi="Arial" w:cs="Arial"/>
          <w:b/>
          <w:bCs/>
          <w:color w:val="000000"/>
        </w:rPr>
        <w:t>План работ по проведению анализа коррупционных рисков</w:t>
      </w:r>
    </w:p>
    <w:p w14:paraId="1681807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4" w:name="332"/>
      <w:bookmarkEnd w:id="32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1984"/>
        <w:gridCol w:w="2437"/>
      </w:tblGrid>
      <w:tr w:rsidR="004A0D9D" w:rsidRPr="003949D2" w14:paraId="4CC62BC2" w14:textId="77777777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9287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17C8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</w:rPr>
              <w:t>Срок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2013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9D2">
              <w:rPr>
                <w:rFonts w:ascii="Arial" w:hAnsi="Arial" w:cs="Arial"/>
                <w:b/>
                <w:bCs/>
                <w:color w:val="000000"/>
              </w:rPr>
              <w:t>Ответственные лица</w:t>
            </w:r>
          </w:p>
        </w:tc>
      </w:tr>
      <w:tr w:rsidR="004A0D9D" w:rsidRPr="003949D2" w14:paraId="76363E3F" w14:textId="77777777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98236" w14:textId="2380DE22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1.</w:t>
            </w:r>
            <w:r w:rsidRPr="003949D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B1C8C">
              <w:rPr>
                <w:rFonts w:ascii="Arial" w:hAnsi="Arial" w:cs="Arial"/>
                <w:i/>
                <w:iCs/>
                <w:noProof/>
                <w:color w:val="000000"/>
              </w:rPr>
              <w:drawing>
                <wp:inline distT="0" distB="0" distL="0" distR="0" wp14:anchorId="0B48198C" wp14:editId="5B71456A">
                  <wp:extent cx="182880" cy="18288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9D2">
              <w:rPr>
                <w:rFonts w:ascii="Arial" w:hAnsi="Arial" w:cs="Arial"/>
                <w:i/>
                <w:iCs/>
                <w:color w:val="000000"/>
              </w:rPr>
              <w:t xml:space="preserve"> Пример</w:t>
            </w:r>
          </w:p>
          <w:p w14:paraId="5B5533C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  <w:p w14:paraId="6EB00AD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Сбор информации: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BF69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0436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369590E3" w14:textId="77777777">
        <w:tc>
          <w:tcPr>
            <w:tcW w:w="4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EFEC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Отчет о деятельности объекта анализа за 2020 - 2022 гг.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211D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01.03.2023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3E36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Все подразделения</w:t>
            </w:r>
          </w:p>
          <w:p w14:paraId="75681FB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6EB8B377" w14:textId="77777777">
        <w:tc>
          <w:tcPr>
            <w:tcW w:w="4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4336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Информация о дисциплинарной практике за 2020 - 2022 гг.</w:t>
            </w:r>
          </w:p>
          <w:p w14:paraId="2794AF3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29EA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01.03.2023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E60E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Кадровый орган</w:t>
            </w:r>
          </w:p>
        </w:tc>
      </w:tr>
      <w:tr w:rsidR="004A0D9D" w:rsidRPr="003949D2" w14:paraId="5BFB77D3" w14:textId="7777777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9E0E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Информация об осуществленных административных процедурах за 2020 - 2022 гг.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6D84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10.03.2023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5445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Все ответственные подразделения</w:t>
            </w:r>
          </w:p>
        </w:tc>
      </w:tr>
      <w:tr w:rsidR="004A0D9D" w:rsidRPr="003949D2" w14:paraId="34799112" w14:textId="77777777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0B8A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2. Анализ правовых актов и внутренних документов, регулирующих деятельность объекта анализа; его организационно-управленческой деятельности на наличие коррупционных рисков.</w:t>
            </w:r>
          </w:p>
          <w:p w14:paraId="3D29118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  <w:p w14:paraId="6B920B4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В том числе по направлениям деятельности: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6CB0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8971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7B0728E8" w14:textId="77777777">
        <w:tc>
          <w:tcPr>
            <w:tcW w:w="4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F241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1) управление персоналом;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8B4A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10.03.2023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6BE1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Купала А.В.</w:t>
            </w:r>
          </w:p>
        </w:tc>
      </w:tr>
      <w:tr w:rsidR="004A0D9D" w:rsidRPr="003949D2" w14:paraId="3CB76518" w14:textId="77777777">
        <w:tc>
          <w:tcPr>
            <w:tcW w:w="4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9411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2) государственные закупки;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3167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03.04.2023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126B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Тышкевич Я.А.</w:t>
            </w:r>
          </w:p>
        </w:tc>
      </w:tr>
      <w:tr w:rsidR="004A0D9D" w:rsidRPr="003949D2" w14:paraId="2AD01BA0" w14:textId="77777777">
        <w:tc>
          <w:tcPr>
            <w:tcW w:w="4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E141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3) осуществление административных процедур;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6D14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03.04.2023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6D5A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Громыко Р.Н.</w:t>
            </w:r>
          </w:p>
        </w:tc>
      </w:tr>
      <w:tr w:rsidR="004A0D9D" w:rsidRPr="003949D2" w14:paraId="7DADB361" w14:textId="7777777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919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4) …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DCD6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DE52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7CACC455" w14:textId="77777777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78DB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3. Подготовка аналитической справки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5957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05.04.2023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35E67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Ковалев М.К.</w:t>
            </w:r>
          </w:p>
          <w:p w14:paraId="4A99786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(руководитель рабочей группы)</w:t>
            </w:r>
          </w:p>
        </w:tc>
      </w:tr>
      <w:tr w:rsidR="004A0D9D" w:rsidRPr="003949D2" w14:paraId="7185D4F5" w14:textId="7777777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4E49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4. Подписание аналитической справки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179E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10.04.2023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E43A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Сапега Н.Н.</w:t>
            </w:r>
          </w:p>
          <w:p w14:paraId="72D5074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(должностное лицо, указанное в решении о проведении анализа)</w:t>
            </w:r>
          </w:p>
        </w:tc>
      </w:tr>
    </w:tbl>
    <w:p w14:paraId="3647C00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5" w:name="334"/>
      <w:bookmarkEnd w:id="325"/>
      <w:r>
        <w:rPr>
          <w:rFonts w:ascii="Arial" w:hAnsi="Arial" w:cs="Arial"/>
          <w:color w:val="000000"/>
        </w:rPr>
        <w:t> </w:t>
      </w:r>
    </w:p>
    <w:p w14:paraId="799DA9B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6" w:name="335"/>
      <w:bookmarkEnd w:id="326"/>
      <w:r>
        <w:rPr>
          <w:rFonts w:ascii="Arial" w:hAnsi="Arial" w:cs="Arial"/>
          <w:color w:val="000000"/>
        </w:rPr>
        <w:t> </w:t>
      </w:r>
    </w:p>
    <w:p w14:paraId="3085035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7" w:name="586"/>
      <w:bookmarkEnd w:id="327"/>
      <w:r>
        <w:rPr>
          <w:rFonts w:ascii="Arial" w:hAnsi="Arial" w:cs="Arial"/>
          <w:color w:val="000000"/>
        </w:rPr>
        <w:t> </w:t>
      </w:r>
    </w:p>
    <w:p w14:paraId="79DEC2A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8" w:name="587"/>
      <w:bookmarkEnd w:id="328"/>
      <w:r>
        <w:rPr>
          <w:rFonts w:ascii="Arial" w:hAnsi="Arial" w:cs="Arial"/>
          <w:color w:val="000000"/>
        </w:rPr>
        <w:t> </w:t>
      </w:r>
    </w:p>
    <w:p w14:paraId="71DE5F8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29" w:name="588"/>
      <w:bookmarkEnd w:id="329"/>
      <w:r>
        <w:rPr>
          <w:rFonts w:ascii="Arial" w:hAnsi="Arial" w:cs="Arial"/>
          <w:color w:val="000000"/>
        </w:rPr>
        <w:t> </w:t>
      </w:r>
    </w:p>
    <w:p w14:paraId="7B03966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30" w:name="336"/>
      <w:bookmarkEnd w:id="330"/>
      <w:r>
        <w:rPr>
          <w:rFonts w:ascii="Arial" w:hAnsi="Arial" w:cs="Arial"/>
          <w:color w:val="000000"/>
        </w:rPr>
        <w:t>Приложение 2</w:t>
      </w:r>
    </w:p>
    <w:p w14:paraId="53AD0D6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31" w:name="337"/>
      <w:bookmarkEnd w:id="331"/>
      <w:r>
        <w:rPr>
          <w:rFonts w:ascii="Arial" w:hAnsi="Arial" w:cs="Arial"/>
          <w:color w:val="000000"/>
        </w:rPr>
        <w:t> </w:t>
      </w:r>
    </w:p>
    <w:p w14:paraId="30E9417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32" w:name="338"/>
      <w:bookmarkEnd w:id="332"/>
      <w:r>
        <w:rPr>
          <w:rFonts w:ascii="Arial" w:hAnsi="Arial" w:cs="Arial"/>
          <w:b/>
          <w:bCs/>
          <w:color w:val="000000"/>
        </w:rPr>
        <w:t>Типовая структура аналитической справки</w:t>
      </w:r>
    </w:p>
    <w:p w14:paraId="7F80C8B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</w:rPr>
      </w:pPr>
      <w:bookmarkStart w:id="333" w:name="339"/>
      <w:bookmarkEnd w:id="333"/>
      <w:r>
        <w:rPr>
          <w:rFonts w:ascii="Arial" w:hAnsi="Arial" w:cs="Arial"/>
          <w:color w:val="000000"/>
        </w:rPr>
        <w:t> </w:t>
      </w:r>
    </w:p>
    <w:p w14:paraId="0AA122E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4" w:name="589"/>
      <w:bookmarkEnd w:id="334"/>
      <w:r>
        <w:rPr>
          <w:rFonts w:ascii="Arial" w:hAnsi="Arial" w:cs="Arial"/>
          <w:b/>
          <w:bCs/>
          <w:color w:val="000000"/>
        </w:rPr>
        <w:t>Вводная часть</w:t>
      </w:r>
      <w:r>
        <w:rPr>
          <w:rFonts w:ascii="Arial" w:hAnsi="Arial" w:cs="Arial"/>
          <w:color w:val="000000"/>
        </w:rPr>
        <w:t>: реквизиты приказа о проведении анализа коррупционных рисков и сроки его проведения, Ф.И.О. уполномоченного лица, членов рабочей группы.</w:t>
      </w:r>
    </w:p>
    <w:p w14:paraId="62C576B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590"/>
      <w:bookmarkEnd w:id="335"/>
      <w:r>
        <w:rPr>
          <w:rFonts w:ascii="Arial" w:hAnsi="Arial" w:cs="Arial"/>
          <w:b/>
          <w:bCs/>
          <w:color w:val="000000"/>
        </w:rPr>
        <w:lastRenderedPageBreak/>
        <w:t>Описательная часть</w:t>
      </w:r>
      <w:r>
        <w:rPr>
          <w:rFonts w:ascii="Arial" w:hAnsi="Arial" w:cs="Arial"/>
          <w:color w:val="000000"/>
        </w:rPr>
        <w:t>:</w:t>
      </w:r>
    </w:p>
    <w:p w14:paraId="4C69745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6" w:name="591"/>
      <w:bookmarkEnd w:id="336"/>
      <w:r>
        <w:rPr>
          <w:rFonts w:ascii="Arial" w:hAnsi="Arial" w:cs="Arial"/>
          <w:color w:val="000000"/>
        </w:rPr>
        <w:t>1. Управление персоналом:</w:t>
      </w:r>
    </w:p>
    <w:p w14:paraId="04A24B7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7" w:name="592"/>
      <w:bookmarkEnd w:id="337"/>
      <w:r>
        <w:rPr>
          <w:rFonts w:ascii="Arial" w:hAnsi="Arial" w:cs="Arial"/>
          <w:color w:val="000000"/>
        </w:rPr>
        <w:t>- наименование коррупционного риска в нормативном правовом акте, бизнес-процессах;</w:t>
      </w:r>
    </w:p>
    <w:p w14:paraId="6134C2E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8" w:name="593"/>
      <w:bookmarkEnd w:id="338"/>
      <w:r>
        <w:rPr>
          <w:rFonts w:ascii="Arial" w:hAnsi="Arial" w:cs="Arial"/>
          <w:color w:val="000000"/>
        </w:rPr>
        <w:t>- описание коррупционного риска;</w:t>
      </w:r>
    </w:p>
    <w:p w14:paraId="40251E9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9" w:name="594"/>
      <w:bookmarkEnd w:id="339"/>
      <w:r>
        <w:rPr>
          <w:rFonts w:ascii="Arial" w:hAnsi="Arial" w:cs="Arial"/>
          <w:color w:val="000000"/>
        </w:rPr>
        <w:t>- рекомендации по его устранению.</w:t>
      </w:r>
    </w:p>
    <w:p w14:paraId="6B141D9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0" w:name="595"/>
      <w:bookmarkEnd w:id="340"/>
      <w:r>
        <w:rPr>
          <w:rFonts w:ascii="Arial" w:hAnsi="Arial" w:cs="Arial"/>
          <w:color w:val="000000"/>
        </w:rPr>
        <w:t>2. Урегулирование конфликта интересов:</w:t>
      </w:r>
    </w:p>
    <w:p w14:paraId="7DBFF84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1" w:name="596"/>
      <w:bookmarkEnd w:id="341"/>
      <w:r>
        <w:rPr>
          <w:rFonts w:ascii="Arial" w:hAnsi="Arial" w:cs="Arial"/>
          <w:color w:val="000000"/>
        </w:rPr>
        <w:t>- наименование коррупционного риска в нормативном правовом акте, бизнес-процессах;</w:t>
      </w:r>
    </w:p>
    <w:p w14:paraId="48A5A9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2" w:name="597"/>
      <w:bookmarkEnd w:id="342"/>
      <w:r>
        <w:rPr>
          <w:rFonts w:ascii="Arial" w:hAnsi="Arial" w:cs="Arial"/>
          <w:color w:val="000000"/>
        </w:rPr>
        <w:t>- описание коррупционного риска;</w:t>
      </w:r>
    </w:p>
    <w:p w14:paraId="1653DE3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3" w:name="598"/>
      <w:bookmarkEnd w:id="343"/>
      <w:r>
        <w:rPr>
          <w:rFonts w:ascii="Arial" w:hAnsi="Arial" w:cs="Arial"/>
          <w:color w:val="000000"/>
        </w:rPr>
        <w:t>- рекомендации по его устранению.</w:t>
      </w:r>
    </w:p>
    <w:p w14:paraId="2A80090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4" w:name="599"/>
      <w:bookmarkEnd w:id="344"/>
      <w:r>
        <w:rPr>
          <w:rFonts w:ascii="Arial" w:hAnsi="Arial" w:cs="Arial"/>
          <w:color w:val="000000"/>
        </w:rPr>
        <w:t>3. Осуществление административных процедур:</w:t>
      </w:r>
    </w:p>
    <w:p w14:paraId="0CE6CB0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5" w:name="600"/>
      <w:bookmarkEnd w:id="345"/>
      <w:r>
        <w:rPr>
          <w:rFonts w:ascii="Arial" w:hAnsi="Arial" w:cs="Arial"/>
          <w:color w:val="000000"/>
        </w:rPr>
        <w:t>- наименование коррупционного риска в нормативном правовом акте, бизнес-процессах;</w:t>
      </w:r>
    </w:p>
    <w:p w14:paraId="0D07869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601"/>
      <w:bookmarkEnd w:id="346"/>
      <w:r>
        <w:rPr>
          <w:rFonts w:ascii="Arial" w:hAnsi="Arial" w:cs="Arial"/>
          <w:color w:val="000000"/>
        </w:rPr>
        <w:t>- описание коррупционного риска;</w:t>
      </w:r>
    </w:p>
    <w:p w14:paraId="74C3076C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7" w:name="602"/>
      <w:bookmarkEnd w:id="347"/>
      <w:r>
        <w:rPr>
          <w:rFonts w:ascii="Arial" w:hAnsi="Arial" w:cs="Arial"/>
          <w:color w:val="000000"/>
        </w:rPr>
        <w:t>- рекомендации по его устранению.</w:t>
      </w:r>
    </w:p>
    <w:p w14:paraId="7900BFC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8" w:name="603"/>
      <w:bookmarkEnd w:id="348"/>
      <w:r>
        <w:rPr>
          <w:rFonts w:ascii="Arial" w:hAnsi="Arial" w:cs="Arial"/>
          <w:color w:val="000000"/>
        </w:rPr>
        <w:t>4. …</w:t>
      </w:r>
    </w:p>
    <w:p w14:paraId="2CC9435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9" w:name="604"/>
      <w:bookmarkEnd w:id="349"/>
      <w:r>
        <w:rPr>
          <w:rFonts w:ascii="Arial" w:hAnsi="Arial" w:cs="Arial"/>
          <w:color w:val="000000"/>
        </w:rPr>
        <w:t>5. Иные вопросы, вытекающие из организационно-управленческой деятельности:</w:t>
      </w:r>
    </w:p>
    <w:p w14:paraId="4028BCD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0" w:name="605"/>
      <w:bookmarkEnd w:id="350"/>
      <w:r>
        <w:rPr>
          <w:rFonts w:ascii="Arial" w:hAnsi="Arial" w:cs="Arial"/>
          <w:color w:val="000000"/>
        </w:rPr>
        <w:t>- наименование коррупционного риска в нормативном правовом акте, бизнес-процессах;</w:t>
      </w:r>
    </w:p>
    <w:p w14:paraId="75E251D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606"/>
      <w:bookmarkEnd w:id="351"/>
      <w:r>
        <w:rPr>
          <w:rFonts w:ascii="Arial" w:hAnsi="Arial" w:cs="Arial"/>
          <w:color w:val="000000"/>
        </w:rPr>
        <w:t>- описание коррупционного риска;</w:t>
      </w:r>
    </w:p>
    <w:p w14:paraId="066A59A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2" w:name="607"/>
      <w:bookmarkEnd w:id="352"/>
      <w:r>
        <w:rPr>
          <w:rFonts w:ascii="Arial" w:hAnsi="Arial" w:cs="Arial"/>
          <w:color w:val="000000"/>
        </w:rPr>
        <w:t>- рекомендации по его устранению.</w:t>
      </w:r>
    </w:p>
    <w:p w14:paraId="38FD5C1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 w:firstLine="538"/>
        <w:jc w:val="both"/>
        <w:rPr>
          <w:rFonts w:ascii="Arial" w:hAnsi="Arial" w:cs="Arial"/>
          <w:color w:val="000000"/>
        </w:rPr>
      </w:pPr>
      <w:bookmarkStart w:id="353" w:name="459"/>
      <w:bookmarkEnd w:id="353"/>
      <w:r>
        <w:rPr>
          <w:rFonts w:ascii="Arial" w:hAnsi="Arial" w:cs="Arial"/>
          <w:color w:val="000000"/>
        </w:rPr>
        <w:t> </w:t>
      </w:r>
    </w:p>
    <w:p w14:paraId="6AC1C53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54" w:name="365"/>
      <w:bookmarkEnd w:id="354"/>
      <w:r>
        <w:rPr>
          <w:rFonts w:ascii="Arial" w:hAnsi="Arial" w:cs="Arial"/>
          <w:color w:val="000000"/>
        </w:rPr>
        <w:t>Приложения:</w:t>
      </w:r>
      <w:r>
        <w:rPr>
          <w:rFonts w:ascii="Arial" w:hAnsi="Arial" w:cs="Arial"/>
          <w:i/>
          <w:iCs/>
          <w:color w:val="000000"/>
        </w:rPr>
        <w:t xml:space="preserve"> ...</w:t>
      </w:r>
    </w:p>
    <w:p w14:paraId="26B72B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5" w:name="366"/>
      <w:bookmarkEnd w:id="355"/>
      <w:r>
        <w:rPr>
          <w:rFonts w:ascii="Arial" w:hAnsi="Arial" w:cs="Arial"/>
          <w:color w:val="000000"/>
        </w:rPr>
        <w:t> </w:t>
      </w:r>
    </w:p>
    <w:p w14:paraId="5C02AAB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6" w:name="367"/>
      <w:bookmarkEnd w:id="356"/>
      <w:r>
        <w:rPr>
          <w:rFonts w:ascii="Arial" w:hAnsi="Arial" w:cs="Arial"/>
          <w:color w:val="000000"/>
        </w:rPr>
        <w:t> </w:t>
      </w:r>
    </w:p>
    <w:p w14:paraId="6D5BE30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7" w:name="608"/>
      <w:bookmarkEnd w:id="357"/>
      <w:r>
        <w:rPr>
          <w:rFonts w:ascii="Arial" w:hAnsi="Arial" w:cs="Arial"/>
          <w:color w:val="000000"/>
        </w:rPr>
        <w:t> </w:t>
      </w:r>
    </w:p>
    <w:p w14:paraId="792083D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8" w:name="609"/>
      <w:bookmarkEnd w:id="358"/>
      <w:r>
        <w:rPr>
          <w:rFonts w:ascii="Arial" w:hAnsi="Arial" w:cs="Arial"/>
          <w:color w:val="000000"/>
        </w:rPr>
        <w:t> </w:t>
      </w:r>
    </w:p>
    <w:p w14:paraId="6F6FA1B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9" w:name="610"/>
      <w:bookmarkEnd w:id="359"/>
      <w:r>
        <w:rPr>
          <w:rFonts w:ascii="Arial" w:hAnsi="Arial" w:cs="Arial"/>
          <w:color w:val="000000"/>
        </w:rPr>
        <w:t> </w:t>
      </w:r>
    </w:p>
    <w:p w14:paraId="289B704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60" w:name="368"/>
      <w:bookmarkEnd w:id="360"/>
      <w:r>
        <w:rPr>
          <w:rFonts w:ascii="Arial" w:hAnsi="Arial" w:cs="Arial"/>
          <w:color w:val="000000"/>
        </w:rPr>
        <w:t>Приложение 3</w:t>
      </w:r>
    </w:p>
    <w:p w14:paraId="6E3001D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</w:rPr>
      </w:pPr>
      <w:bookmarkStart w:id="361" w:name="457"/>
      <w:bookmarkEnd w:id="361"/>
      <w:r>
        <w:rPr>
          <w:rFonts w:ascii="Arial" w:hAnsi="Arial" w:cs="Arial"/>
          <w:color w:val="000000"/>
        </w:rPr>
        <w:t> </w:t>
      </w:r>
    </w:p>
    <w:p w14:paraId="42C3034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</w:rPr>
      </w:pPr>
      <w:bookmarkStart w:id="362" w:name="615"/>
      <w:bookmarkEnd w:id="36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  <w:gridCol w:w="963"/>
      </w:tblGrid>
      <w:tr w:rsidR="004A0D9D" w:rsidRPr="003949D2" w14:paraId="755016BB" w14:textId="77777777"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1659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УТВЕРЖДАЮ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2ADB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241965BD" w14:textId="77777777"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4F36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B813A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15403546" w14:textId="77777777"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0CB1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B28F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0D6EB986" w14:textId="77777777">
        <w:tc>
          <w:tcPr>
            <w:tcW w:w="81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87D3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(должность, Ф.И.О. руководителя объекта анализа)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8AF6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1B153FD0" w14:textId="77777777"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003B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CADD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0DC25336" w14:textId="77777777">
        <w:tc>
          <w:tcPr>
            <w:tcW w:w="81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DBEF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(подпись руководителя объект анализа)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3F09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6A73393F" w14:textId="77777777"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FD7B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F40B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4A0D9D" w:rsidRPr="003949D2" w14:paraId="34CC0F69" w14:textId="77777777">
        <w:tc>
          <w:tcPr>
            <w:tcW w:w="81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814A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949D2">
              <w:rPr>
                <w:rFonts w:ascii="Arial" w:hAnsi="Arial" w:cs="Arial"/>
                <w:i/>
                <w:iCs/>
                <w:color w:val="000000"/>
              </w:rPr>
              <w:t>(дата)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C502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14:paraId="1377F2C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</w:rPr>
      </w:pPr>
      <w:bookmarkStart w:id="363" w:name="617"/>
      <w:bookmarkEnd w:id="363"/>
      <w:r>
        <w:rPr>
          <w:rFonts w:ascii="Arial" w:hAnsi="Arial" w:cs="Arial"/>
          <w:color w:val="000000"/>
        </w:rPr>
        <w:t> </w:t>
      </w:r>
    </w:p>
    <w:p w14:paraId="7BAAA37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64" w:name="378"/>
      <w:bookmarkEnd w:id="364"/>
      <w:r>
        <w:rPr>
          <w:rFonts w:ascii="Arial" w:hAnsi="Arial" w:cs="Arial"/>
          <w:b/>
          <w:bCs/>
          <w:color w:val="000000"/>
        </w:rPr>
        <w:t>План мероприятий</w:t>
      </w:r>
    </w:p>
    <w:p w14:paraId="5C4F371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65" w:name="379"/>
      <w:bookmarkEnd w:id="365"/>
      <w:r>
        <w:rPr>
          <w:rFonts w:ascii="Arial" w:hAnsi="Arial" w:cs="Arial"/>
          <w:b/>
          <w:bCs/>
          <w:color w:val="000000"/>
        </w:rPr>
        <w:t>по устранению причин и условий, способствующих совершению</w:t>
      </w:r>
    </w:p>
    <w:p w14:paraId="66018C9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66" w:name="380"/>
      <w:bookmarkEnd w:id="366"/>
      <w:r>
        <w:rPr>
          <w:rFonts w:ascii="Arial" w:hAnsi="Arial" w:cs="Arial"/>
          <w:b/>
          <w:bCs/>
          <w:color w:val="000000"/>
        </w:rPr>
        <w:t xml:space="preserve">коррупционных правонарушений, выявленных по результатам анализа коррупционных рисков </w:t>
      </w:r>
    </w:p>
    <w:p w14:paraId="647AE31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67" w:name="381"/>
      <w:bookmarkEnd w:id="367"/>
      <w:r>
        <w:rPr>
          <w:rFonts w:ascii="Arial" w:hAnsi="Arial" w:cs="Arial"/>
          <w:color w:val="000000"/>
        </w:rPr>
        <w:t> </w:t>
      </w:r>
    </w:p>
    <w:p w14:paraId="596663E2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68" w:name="382"/>
      <w:bookmarkEnd w:id="368"/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color w:val="000000"/>
        </w:rPr>
        <w:t xml:space="preserve"> _________________________________________________</w:t>
      </w:r>
    </w:p>
    <w:p w14:paraId="4812CB5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i/>
          <w:iCs/>
          <w:color w:val="000000"/>
        </w:rPr>
      </w:pPr>
      <w:bookmarkStart w:id="369" w:name="383"/>
      <w:bookmarkEnd w:id="369"/>
      <w:r>
        <w:rPr>
          <w:rFonts w:ascii="Arial" w:hAnsi="Arial" w:cs="Arial"/>
          <w:i/>
          <w:iCs/>
          <w:color w:val="000000"/>
        </w:rPr>
        <w:t>(наименование объекта анализа)</w:t>
      </w:r>
    </w:p>
    <w:p w14:paraId="140F943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70" w:name="384"/>
      <w:bookmarkEnd w:id="37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1814"/>
        <w:gridCol w:w="1587"/>
        <w:gridCol w:w="1757"/>
        <w:gridCol w:w="1587"/>
      </w:tblGrid>
      <w:tr w:rsidR="004A0D9D" w:rsidRPr="003949D2" w14:paraId="3929E808" w14:textId="77777777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599A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Рекомендации по итогам анализа коррупционных рисков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4AB2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6F14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Форма завершения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3F3A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Ответственные исполнители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7685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4A0D9D" w:rsidRPr="003949D2" w14:paraId="00A6C44F" w14:textId="77777777"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7575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1. </w:t>
            </w:r>
          </w:p>
          <w:p w14:paraId="6F9F908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8940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3126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6C98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ED38D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14:paraId="18C5B66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1" w:name="387"/>
      <w:bookmarkEnd w:id="371"/>
      <w:r>
        <w:rPr>
          <w:rFonts w:ascii="Arial" w:hAnsi="Arial" w:cs="Arial"/>
          <w:color w:val="000000"/>
        </w:rPr>
        <w:lastRenderedPageBreak/>
        <w:t> </w:t>
      </w:r>
    </w:p>
    <w:p w14:paraId="73F2A37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2" w:name="618"/>
      <w:bookmarkEnd w:id="372"/>
      <w:r>
        <w:rPr>
          <w:rFonts w:ascii="Arial" w:hAnsi="Arial" w:cs="Arial"/>
          <w:color w:val="000000"/>
        </w:rPr>
        <w:t> </w:t>
      </w:r>
    </w:p>
    <w:p w14:paraId="3E761E1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3" w:name="619"/>
      <w:bookmarkEnd w:id="373"/>
      <w:r>
        <w:rPr>
          <w:rFonts w:ascii="Arial" w:hAnsi="Arial" w:cs="Arial"/>
          <w:color w:val="000000"/>
        </w:rPr>
        <w:t> </w:t>
      </w:r>
    </w:p>
    <w:p w14:paraId="546CC1A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4" w:name="620"/>
      <w:bookmarkEnd w:id="374"/>
      <w:r>
        <w:rPr>
          <w:rFonts w:ascii="Arial" w:hAnsi="Arial" w:cs="Arial"/>
          <w:color w:val="000000"/>
        </w:rPr>
        <w:t> </w:t>
      </w:r>
    </w:p>
    <w:p w14:paraId="6B4DFC1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5" w:name="621"/>
      <w:bookmarkEnd w:id="375"/>
      <w:r>
        <w:rPr>
          <w:rFonts w:ascii="Arial" w:hAnsi="Arial" w:cs="Arial"/>
          <w:color w:val="000000"/>
        </w:rPr>
        <w:t> </w:t>
      </w:r>
    </w:p>
    <w:p w14:paraId="29CC985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6" w:name="388"/>
      <w:bookmarkEnd w:id="376"/>
      <w:r>
        <w:rPr>
          <w:rFonts w:ascii="Arial" w:hAnsi="Arial" w:cs="Arial"/>
          <w:color w:val="000000"/>
        </w:rPr>
        <w:t>Приложение 4</w:t>
      </w:r>
    </w:p>
    <w:p w14:paraId="28FDB61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right"/>
        <w:rPr>
          <w:rFonts w:ascii="Arial" w:hAnsi="Arial" w:cs="Arial"/>
          <w:color w:val="000000"/>
        </w:rPr>
      </w:pPr>
      <w:bookmarkStart w:id="377" w:name="389"/>
      <w:bookmarkEnd w:id="377"/>
      <w:r>
        <w:rPr>
          <w:rFonts w:ascii="Arial" w:hAnsi="Arial" w:cs="Arial"/>
          <w:color w:val="000000"/>
        </w:rPr>
        <w:t> </w:t>
      </w:r>
    </w:p>
    <w:p w14:paraId="283FAB2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b/>
          <w:bCs/>
          <w:color w:val="000000"/>
        </w:rPr>
      </w:pPr>
      <w:bookmarkStart w:id="378" w:name="390"/>
      <w:bookmarkEnd w:id="378"/>
      <w:r>
        <w:rPr>
          <w:rFonts w:ascii="Arial" w:hAnsi="Arial" w:cs="Arial"/>
          <w:b/>
          <w:bCs/>
          <w:color w:val="000000"/>
        </w:rPr>
        <w:t>Информация о ходе выполнения рекомендаций, внесенных по итогам анализа коррупционных рисков</w:t>
      </w:r>
    </w:p>
    <w:p w14:paraId="2D9601B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9" w:name="391"/>
      <w:bookmarkEnd w:id="37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2948"/>
        <w:gridCol w:w="2437"/>
      </w:tblGrid>
      <w:tr w:rsidR="004A0D9D" w:rsidRPr="003949D2" w14:paraId="4461750C" w14:textId="77777777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C775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Рекомендации по итогам анализа коррупционных рисков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AFE6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Форма завершения согласно плану мероприятий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D848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Информация об исполнении</w:t>
            </w:r>
          </w:p>
        </w:tc>
      </w:tr>
      <w:tr w:rsidR="004A0D9D" w:rsidRPr="003949D2" w14:paraId="0EA2AE14" w14:textId="77777777"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436EF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1. </w:t>
            </w:r>
          </w:p>
          <w:p w14:paraId="0D4C5D0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A5041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59E9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14:paraId="11FCDBD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0" w:name="393"/>
      <w:bookmarkEnd w:id="380"/>
      <w:r>
        <w:rPr>
          <w:rFonts w:ascii="Arial" w:hAnsi="Arial" w:cs="Arial"/>
          <w:color w:val="000000"/>
        </w:rPr>
        <w:t> </w:t>
      </w:r>
    </w:p>
    <w:p w14:paraId="2C8B28F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1" w:name="394"/>
      <w:bookmarkEnd w:id="381"/>
      <w:r>
        <w:rPr>
          <w:rFonts w:ascii="Arial" w:hAnsi="Arial" w:cs="Arial"/>
          <w:color w:val="000000"/>
        </w:rPr>
        <w:t> </w:t>
      </w:r>
    </w:p>
    <w:p w14:paraId="71AE6AD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2" w:name="622"/>
      <w:bookmarkEnd w:id="382"/>
      <w:r>
        <w:rPr>
          <w:rFonts w:ascii="Arial" w:hAnsi="Arial" w:cs="Arial"/>
          <w:color w:val="000000"/>
        </w:rPr>
        <w:t> </w:t>
      </w:r>
    </w:p>
    <w:p w14:paraId="4B46546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3" w:name="623"/>
      <w:bookmarkEnd w:id="383"/>
      <w:r>
        <w:rPr>
          <w:rFonts w:ascii="Arial" w:hAnsi="Arial" w:cs="Arial"/>
          <w:color w:val="000000"/>
        </w:rPr>
        <w:t> </w:t>
      </w:r>
    </w:p>
    <w:p w14:paraId="6422105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4" w:name="624"/>
      <w:bookmarkEnd w:id="384"/>
      <w:r>
        <w:rPr>
          <w:rFonts w:ascii="Arial" w:hAnsi="Arial" w:cs="Arial"/>
          <w:color w:val="000000"/>
        </w:rPr>
        <w:t> </w:t>
      </w:r>
    </w:p>
    <w:p w14:paraId="09DA010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85" w:name="395"/>
      <w:bookmarkEnd w:id="385"/>
      <w:r>
        <w:rPr>
          <w:rFonts w:ascii="Arial" w:hAnsi="Arial" w:cs="Arial"/>
          <w:color w:val="000000"/>
        </w:rPr>
        <w:t>Приложение 5</w:t>
      </w:r>
    </w:p>
    <w:p w14:paraId="0B65083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86" w:name="396"/>
      <w:bookmarkEnd w:id="386"/>
      <w:r>
        <w:rPr>
          <w:rFonts w:ascii="Arial" w:hAnsi="Arial" w:cs="Arial"/>
          <w:color w:val="000000"/>
        </w:rPr>
        <w:t> </w:t>
      </w:r>
    </w:p>
    <w:p w14:paraId="3DF9B838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87" w:name="397"/>
      <w:bookmarkEnd w:id="387"/>
      <w:r>
        <w:rPr>
          <w:rFonts w:ascii="Arial" w:hAnsi="Arial" w:cs="Arial"/>
          <w:b/>
          <w:bCs/>
          <w:color w:val="000000"/>
        </w:rPr>
        <w:t xml:space="preserve">Результаты мониторинга выполнения рекомендаций </w:t>
      </w:r>
    </w:p>
    <w:p w14:paraId="301D0EB1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88" w:name="398"/>
      <w:bookmarkEnd w:id="388"/>
      <w:r>
        <w:rPr>
          <w:rFonts w:ascii="Arial" w:hAnsi="Arial" w:cs="Arial"/>
          <w:b/>
          <w:bCs/>
          <w:color w:val="000000"/>
        </w:rPr>
        <w:t>объектом анализа коррупционных рисков</w:t>
      </w:r>
    </w:p>
    <w:p w14:paraId="65C967AD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color w:val="000000"/>
        </w:rPr>
      </w:pPr>
      <w:bookmarkStart w:id="389" w:name="399"/>
      <w:bookmarkEnd w:id="389"/>
      <w:r>
        <w:rPr>
          <w:rFonts w:ascii="Arial" w:hAnsi="Arial" w:cs="Arial"/>
          <w:color w:val="000000"/>
        </w:rPr>
        <w:t> </w:t>
      </w:r>
    </w:p>
    <w:p w14:paraId="7A9B4DB5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0" w:name="625"/>
      <w:bookmarkEnd w:id="390"/>
      <w:r>
        <w:rPr>
          <w:rFonts w:ascii="Arial" w:hAnsi="Arial" w:cs="Arial"/>
          <w:color w:val="000000"/>
        </w:rPr>
        <w:t>Наименование объекта анализа коррупционных рисков: _________________________________</w:t>
      </w:r>
    </w:p>
    <w:p w14:paraId="33010E3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1" w:name="626"/>
      <w:bookmarkEnd w:id="391"/>
      <w:r>
        <w:rPr>
          <w:rFonts w:ascii="Arial" w:hAnsi="Arial" w:cs="Arial"/>
          <w:color w:val="000000"/>
        </w:rPr>
        <w:t>Период проведения анализа: _________________________________________</w:t>
      </w:r>
    </w:p>
    <w:p w14:paraId="4A8C332B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2" w:name="627"/>
      <w:bookmarkEnd w:id="392"/>
      <w:r>
        <w:rPr>
          <w:rFonts w:ascii="Arial" w:hAnsi="Arial" w:cs="Arial"/>
          <w:color w:val="000000"/>
        </w:rPr>
        <w:t>Дата подписания аналитической справки: ______________________________</w:t>
      </w:r>
    </w:p>
    <w:p w14:paraId="7F93DFDE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3" w:name="628"/>
      <w:bookmarkEnd w:id="393"/>
      <w:r>
        <w:rPr>
          <w:rFonts w:ascii="Arial" w:hAnsi="Arial" w:cs="Arial"/>
          <w:color w:val="000000"/>
        </w:rPr>
        <w:t>Всего внесено _____ рекомендаций.</w:t>
      </w:r>
    </w:p>
    <w:p w14:paraId="6700536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4" w:name="629"/>
      <w:bookmarkEnd w:id="394"/>
      <w:r>
        <w:rPr>
          <w:rFonts w:ascii="Arial" w:hAnsi="Arial" w:cs="Arial"/>
          <w:color w:val="000000"/>
        </w:rPr>
        <w:t>Из них:</w:t>
      </w:r>
    </w:p>
    <w:p w14:paraId="128BF407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5" w:name="630"/>
      <w:bookmarkEnd w:id="395"/>
      <w:r>
        <w:rPr>
          <w:rFonts w:ascii="Arial" w:hAnsi="Arial" w:cs="Arial"/>
          <w:color w:val="000000"/>
        </w:rPr>
        <w:t>- выполнены в полном объеме _____;</w:t>
      </w:r>
    </w:p>
    <w:p w14:paraId="1E1D7C1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6" w:name="631"/>
      <w:bookmarkEnd w:id="396"/>
      <w:r>
        <w:rPr>
          <w:rFonts w:ascii="Arial" w:hAnsi="Arial" w:cs="Arial"/>
          <w:color w:val="000000"/>
        </w:rPr>
        <w:t>- частично выполнены _____;</w:t>
      </w:r>
    </w:p>
    <w:p w14:paraId="6C2D9BF9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7" w:name="632"/>
      <w:bookmarkEnd w:id="397"/>
      <w:r>
        <w:rPr>
          <w:rFonts w:ascii="Arial" w:hAnsi="Arial" w:cs="Arial"/>
          <w:color w:val="000000"/>
        </w:rPr>
        <w:t>- не выполнены _____;</w:t>
      </w:r>
    </w:p>
    <w:p w14:paraId="2CC58CB4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8" w:name="633"/>
      <w:bookmarkEnd w:id="398"/>
      <w:r>
        <w:rPr>
          <w:rFonts w:ascii="Arial" w:hAnsi="Arial" w:cs="Arial"/>
          <w:color w:val="000000"/>
        </w:rPr>
        <w:t>- утратили актуальность _____.</w:t>
      </w:r>
    </w:p>
    <w:p w14:paraId="31B3A8F0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color w:val="000000"/>
        </w:rPr>
      </w:pPr>
      <w:bookmarkStart w:id="399" w:name="410"/>
      <w:bookmarkEnd w:id="39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324"/>
        <w:gridCol w:w="1984"/>
        <w:gridCol w:w="1984"/>
      </w:tblGrid>
      <w:tr w:rsidR="004A0D9D" w:rsidRPr="003949D2" w14:paraId="28F08E7D" w14:textId="77777777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4C6F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Рекомендации по итогам анализа коррупционных рисков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1F262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Форма завершения согласно плану мероприятий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C6EB8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Информация о выполнении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06FDE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Оценка лица, уполномоченного на проведение анализа</w:t>
            </w:r>
          </w:p>
        </w:tc>
      </w:tr>
      <w:tr w:rsidR="004A0D9D" w:rsidRPr="003949D2" w14:paraId="29D3294E" w14:textId="77777777"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70809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1. </w:t>
            </w:r>
          </w:p>
          <w:p w14:paraId="501C04B4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5983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FD48C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9F686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9D2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14:paraId="24E458C6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0" w:name="441"/>
      <w:bookmarkEnd w:id="40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4A0D9D" w:rsidRPr="003949D2" w14:paraId="6973E2DA" w14:textId="77777777"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2E69B0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92C69"/>
              </w:rPr>
            </w:pPr>
            <w:r w:rsidRPr="003949D2">
              <w:rPr>
                <w:rFonts w:ascii="Arial" w:hAnsi="Arial" w:cs="Arial"/>
                <w:b/>
                <w:bCs/>
                <w:color w:val="392C69"/>
              </w:rPr>
              <w:t xml:space="preserve">Дополнительные материалы </w:t>
            </w:r>
          </w:p>
          <w:p w14:paraId="7A9962E5" w14:textId="77777777" w:rsidR="004A0D9D" w:rsidRPr="003949D2" w:rsidRDefault="004A0D9D" w:rsidP="004A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 w:rsidRPr="003949D2">
              <w:rPr>
                <w:rFonts w:ascii="Arial" w:hAnsi="Arial" w:cs="Arial"/>
                <w:color w:val="392C69"/>
              </w:rPr>
              <w:t xml:space="preserve">Статья. Методические рекомендации по организации антикоррупционной работы в государственных органах и организациях </w:t>
            </w:r>
          </w:p>
        </w:tc>
      </w:tr>
    </w:tbl>
    <w:p w14:paraId="1DD2A22F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1" w:name="635"/>
      <w:bookmarkEnd w:id="401"/>
      <w:r>
        <w:rPr>
          <w:rFonts w:ascii="Arial" w:hAnsi="Arial" w:cs="Arial"/>
          <w:color w:val="000000"/>
        </w:rPr>
        <w:t> </w:t>
      </w:r>
    </w:p>
    <w:p w14:paraId="34A4A883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2" w:name="636"/>
      <w:bookmarkEnd w:id="402"/>
      <w:r>
        <w:rPr>
          <w:rFonts w:ascii="Arial" w:hAnsi="Arial" w:cs="Arial"/>
          <w:color w:val="000000"/>
        </w:rPr>
        <w:t> </w:t>
      </w:r>
    </w:p>
    <w:p w14:paraId="2BE16F5A" w14:textId="77777777" w:rsidR="004A0D9D" w:rsidRDefault="004A0D9D" w:rsidP="004A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3" w:name="4"/>
      <w:bookmarkEnd w:id="40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4A0D9D">
      <w:headerReference w:type="default" r:id="rId9"/>
      <w:footerReference w:type="default" r:id="rId10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3825" w14:textId="77777777" w:rsidR="003949D2" w:rsidRDefault="003949D2">
      <w:pPr>
        <w:spacing w:after="0" w:line="240" w:lineRule="auto"/>
      </w:pPr>
      <w:r>
        <w:separator/>
      </w:r>
    </w:p>
  </w:endnote>
  <w:endnote w:type="continuationSeparator" w:id="0">
    <w:p w14:paraId="4B1257A8" w14:textId="77777777" w:rsidR="003949D2" w:rsidRDefault="003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AAC4" w14:textId="77777777" w:rsidR="004A0D9D" w:rsidRDefault="004A0D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7D9B" w14:textId="77777777" w:rsidR="003949D2" w:rsidRDefault="003949D2">
      <w:pPr>
        <w:spacing w:after="0" w:line="240" w:lineRule="auto"/>
      </w:pPr>
      <w:r>
        <w:separator/>
      </w:r>
    </w:p>
  </w:footnote>
  <w:footnote w:type="continuationSeparator" w:id="0">
    <w:p w14:paraId="76B62FD6" w14:textId="77777777" w:rsidR="003949D2" w:rsidRDefault="0039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46AD" w14:textId="77777777" w:rsidR="004A0D9D" w:rsidRDefault="004A0D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9D"/>
    <w:rsid w:val="000B1C8C"/>
    <w:rsid w:val="002A53D0"/>
    <w:rsid w:val="003949D2"/>
    <w:rsid w:val="004A0D9D"/>
    <w:rsid w:val="004E5A48"/>
    <w:rsid w:val="00660D0C"/>
    <w:rsid w:val="007B6952"/>
    <w:rsid w:val="00AB165A"/>
    <w:rsid w:val="00A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18202D2"/>
  <w14:defaultImageDpi w14:val="0"/>
  <w15:docId w15:val="{2E4790E6-0154-482E-A90B-5945E6FB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A092-4A5F-4E6C-92E0-80A04547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5809</Words>
  <Characters>43445</Characters>
  <Application>Microsoft Office Word</Application>
  <DocSecurity>0</DocSecurity>
  <Lines>1010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2025-01-30T13:37:00Z</cp:lastPrinted>
  <dcterms:created xsi:type="dcterms:W3CDTF">2025-01-30T13:49:00Z</dcterms:created>
  <dcterms:modified xsi:type="dcterms:W3CDTF">2025-01-30T13:49:00Z</dcterms:modified>
</cp:coreProperties>
</file>