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91" w:rsidRPr="005E5991" w:rsidRDefault="005E5991" w:rsidP="005E5991">
      <w:pPr>
        <w:spacing w:after="120" w:line="280" w:lineRule="exact"/>
        <w:ind w:left="-709" w:right="-143"/>
        <w:rPr>
          <w:rFonts w:ascii="Verdana" w:hAnsi="Verdana"/>
          <w:b/>
          <w:sz w:val="24"/>
          <w:szCs w:val="24"/>
        </w:rPr>
      </w:pPr>
      <w:r w:rsidRPr="005E5991">
        <w:rPr>
          <w:rFonts w:ascii="Verdana" w:hAnsi="Verdana"/>
          <w:b/>
          <w:sz w:val="24"/>
          <w:szCs w:val="24"/>
        </w:rPr>
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</w:r>
    </w:p>
    <w:tbl>
      <w:tblPr>
        <w:tblStyle w:val="a3"/>
        <w:tblW w:w="10490" w:type="dxa"/>
        <w:tblInd w:w="-601" w:type="dxa"/>
        <w:tblLook w:val="04A0"/>
      </w:tblPr>
      <w:tblGrid>
        <w:gridCol w:w="4820"/>
        <w:gridCol w:w="5670"/>
      </w:tblGrid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i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i/>
                <w:sz w:val="24"/>
                <w:szCs w:val="24"/>
              </w:rPr>
              <w:t>(в случае регистрации лиц из числа детей-сирот и детей, оставшихся без попечения родителей, по адресу расположения административного здания местного исполнительного и распорядительного органа по месту первоначального приобретения такими лицами статуса детей-сирот и детей, оставшихся без попечения родителей, либо по адресу расположения административного здания местного исполнительного и распорядительного органа по месту предоставления им первого рабочего места)</w:t>
            </w:r>
            <w:proofErr w:type="gramEnd"/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заявление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документ, являющийся основанием для регистрации по месту жительства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военный билет или временное удостоверение (удостоверение призывника) с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отметкой о постановке на воинский учет по новому месту жительства – для военнообязанных (призывников)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 xml:space="preserve">свидетельство о смерти (для иностранных граждан и лиц без гражданства, которым предоставлены статус беженца или убежище в Республике Беларусь, – при его наличии), либо его копия, засвидетельствованная нотариально, либо </w:t>
            </w:r>
            <w:r w:rsidRPr="005E5991">
              <w:rPr>
                <w:rFonts w:ascii="Verdana" w:hAnsi="Verdana"/>
                <w:sz w:val="24"/>
                <w:szCs w:val="24"/>
              </w:rPr>
              <w:lastRenderedPageBreak/>
              <w:t>справка органа загса, содержащая сведения из записи акта о смерти (в случае смерти одного из законных представителей), либо копия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розыска гражданина – для несовершеннолетних, которые имеют одного законного представителя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 жительства на территории Республики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Беларусь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либо является иностранным гражданином или лицом без гражданства, постоянно не проживающим в Республике Беларусь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возрасте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от 14 до 18 лет не по месту жительства его законных представителей, за исключением случаев, когда законный </w:t>
            </w:r>
            <w:r w:rsidRPr="005E5991">
              <w:rPr>
                <w:rFonts w:ascii="Verdana" w:hAnsi="Verdana"/>
                <w:sz w:val="24"/>
                <w:szCs w:val="24"/>
              </w:rPr>
              <w:lastRenderedPageBreak/>
              <w:t>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документ, подтверждающий внесение платы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lastRenderedPageBreak/>
              <w:t xml:space="preserve">Документы подаются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управление образования райисполкома,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г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>. Сморгонь, ул. Ленина, 5,  понедельник – пятница с 8 00 до 13-00, с 14-00 до 17-00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Ответственные за выполнение административной процедуры</w:t>
            </w:r>
            <w:proofErr w:type="gramEnd"/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управление образования, главный специалист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Гружевская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 Тамара Николаевна,  тел. 3-76-82,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каб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. 321, на время отсутствия – главный специалист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Ротько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 Галина Владимировна,  тел. 3-76-92,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каб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>. 322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бесплатно – для несовершеннолетних, а также физических лиц, проживающих в государственных стационарных организациях социального обслуживания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0,5 базовой величины – для других лиц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3 рабочих дня со дня подачи заявления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выдаваемых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pStyle w:val="table10"/>
              <w:spacing w:before="120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бессрочно</w:t>
            </w:r>
          </w:p>
        </w:tc>
      </w:tr>
      <w:tr w:rsidR="005E5991" w:rsidRPr="005E5991" w:rsidTr="00C86928">
        <w:trPr>
          <w:trHeight w:val="637"/>
        </w:trPr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E5991" w:rsidRPr="005E5991" w:rsidRDefault="005E5991" w:rsidP="005E5991">
      <w:pPr>
        <w:spacing w:after="0" w:line="280" w:lineRule="exact"/>
        <w:rPr>
          <w:rFonts w:ascii="Verdana" w:hAnsi="Verdana"/>
          <w:sz w:val="24"/>
          <w:szCs w:val="24"/>
        </w:rPr>
      </w:pPr>
    </w:p>
    <w:p w:rsidR="005E5991" w:rsidRPr="005E5991" w:rsidRDefault="005E5991" w:rsidP="005E5991">
      <w:pPr>
        <w:spacing w:after="120" w:line="280" w:lineRule="exact"/>
        <w:ind w:left="-709" w:right="-143"/>
        <w:rPr>
          <w:rFonts w:ascii="Verdana" w:hAnsi="Verdana"/>
          <w:b/>
          <w:sz w:val="24"/>
          <w:szCs w:val="24"/>
        </w:rPr>
      </w:pPr>
      <w:r w:rsidRPr="005E5991">
        <w:rPr>
          <w:rFonts w:ascii="Verdana" w:hAnsi="Verdana"/>
          <w:b/>
          <w:sz w:val="24"/>
          <w:szCs w:val="24"/>
        </w:rPr>
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</w:r>
    </w:p>
    <w:tbl>
      <w:tblPr>
        <w:tblStyle w:val="a3"/>
        <w:tblW w:w="10490" w:type="dxa"/>
        <w:tblInd w:w="-601" w:type="dxa"/>
        <w:tblLook w:val="04A0"/>
      </w:tblPr>
      <w:tblGrid>
        <w:gridCol w:w="4820"/>
        <w:gridCol w:w="5670"/>
      </w:tblGrid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670" w:type="dxa"/>
          </w:tcPr>
          <w:p w:rsidR="005E5991" w:rsidRDefault="005E5991" w:rsidP="005E5991">
            <w:pPr>
              <w:spacing w:after="120" w:line="280" w:lineRule="exact"/>
              <w:ind w:left="34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5E5991" w:rsidRPr="005E5991" w:rsidRDefault="00C86928" w:rsidP="00C86928">
            <w:pPr>
              <w:spacing w:after="120" w:line="280" w:lineRule="exact"/>
              <w:ind w:left="34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i/>
                <w:sz w:val="24"/>
                <w:szCs w:val="24"/>
              </w:rPr>
              <w:t xml:space="preserve">(в случае регистрации лиц из числа детей-сирот и детей, оставшихся без попечения родителей, по адресу расположения административного здания местного исполнительного и распорядительного органа по месту первоначального приобретения такими </w:t>
            </w:r>
            <w:r w:rsidRPr="005E5991">
              <w:rPr>
                <w:rFonts w:ascii="Verdana" w:hAnsi="Verdana"/>
                <w:i/>
                <w:sz w:val="24"/>
                <w:szCs w:val="24"/>
              </w:rPr>
              <w:lastRenderedPageBreak/>
              <w:t>лицами статуса детей-сирот и детей, оставшихся без попечения родителей, либо по адресу расположения административного здания местного исполнительного и распорядительного органа по месту предоставления им первого рабочего места)</w:t>
            </w:r>
            <w:proofErr w:type="gramEnd"/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lastRenderedPageBreak/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заявление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документ, являющийся основанием для регистрации по месту пребывания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свидетельство о смерти (для иностранных граждан и лиц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без гражданства,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умершим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 xml:space="preserve">не по месту </w:t>
            </w:r>
            <w:r w:rsidRPr="005E5991">
              <w:rPr>
                <w:rFonts w:ascii="Verdana" w:hAnsi="Verdana"/>
                <w:sz w:val="24"/>
                <w:szCs w:val="24"/>
              </w:rPr>
              <w:lastRenderedPageBreak/>
              <w:t>пребывания этого законного представителя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документ, подтверждающий внесение платы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lastRenderedPageBreak/>
              <w:t xml:space="preserve">Документы подаются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управление образования райисполкома,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г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>. Сморгонь, ул. Ленина, 5,  понедельник – пятница с 8 00 до 13-00, с 14-00 до 17-00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Ответственные за выполнение административной процедуры</w:t>
            </w:r>
            <w:proofErr w:type="gramEnd"/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управление образования, главный специалист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Гружевская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 Тамара Николаевна,  тел. 3-76-82,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каб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. 321, на время отсутствия – главный специалист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Ротько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 Галина Владимировна,  тел. 3-76-92,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каб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>. 322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бесплатно – за регистрацию в помещениях для временного проживания, а также для несовершеннолетних, физических лиц, проживающих в государственных стационарных организациях социального обслуживания, для граждан Республики Беларусь, проходящих военную службу по контракту, призыву, службу в резерве, находящихся на военных или специальных сборах, проходящих альтернативную службу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0,5 базовой величины – для других лиц и в иных случаях</w:t>
            </w:r>
            <w:proofErr w:type="gramEnd"/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3 рабочих дня со дня подачи заявления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выдаваемых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>, находящихся на военных или специальных сборах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  <w:t>до 1 года – для других лиц</w:t>
            </w:r>
          </w:p>
        </w:tc>
      </w:tr>
      <w:tr w:rsidR="005E5991" w:rsidRPr="005E5991" w:rsidTr="00C86928">
        <w:trPr>
          <w:trHeight w:val="637"/>
        </w:trPr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E5991" w:rsidRPr="005E5991" w:rsidRDefault="005E5991" w:rsidP="005E5991">
      <w:pPr>
        <w:spacing w:after="120" w:line="280" w:lineRule="exact"/>
        <w:ind w:left="-709" w:right="-143"/>
        <w:rPr>
          <w:rFonts w:ascii="Verdana" w:hAnsi="Verdana"/>
          <w:b/>
          <w:sz w:val="24"/>
          <w:szCs w:val="24"/>
        </w:rPr>
      </w:pPr>
      <w:r w:rsidRPr="005E5991">
        <w:rPr>
          <w:rFonts w:ascii="Verdana" w:hAnsi="Verdana"/>
          <w:b/>
          <w:sz w:val="24"/>
          <w:szCs w:val="24"/>
        </w:rPr>
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</w:r>
    </w:p>
    <w:tbl>
      <w:tblPr>
        <w:tblStyle w:val="a3"/>
        <w:tblW w:w="10490" w:type="dxa"/>
        <w:tblInd w:w="-601" w:type="dxa"/>
        <w:tblLook w:val="04A0"/>
      </w:tblPr>
      <w:tblGrid>
        <w:gridCol w:w="4820"/>
        <w:gridCol w:w="5670"/>
      </w:tblGrid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670" w:type="dxa"/>
          </w:tcPr>
          <w:p w:rsidR="005E5991" w:rsidRDefault="005E5991" w:rsidP="009D4411">
            <w:pPr>
              <w:spacing w:after="120" w:line="280" w:lineRule="exact"/>
              <w:ind w:left="34" w:right="-143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  <w:p w:rsidR="00C86928" w:rsidRPr="005E5991" w:rsidRDefault="00C86928" w:rsidP="009D4411">
            <w:pPr>
              <w:spacing w:after="120" w:line="280" w:lineRule="exact"/>
              <w:ind w:left="34" w:right="-143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i/>
                <w:sz w:val="24"/>
                <w:szCs w:val="24"/>
              </w:rPr>
              <w:t xml:space="preserve">(в случае регистрации лиц из числа детей-сирот и детей, оставшихся без попечения родителей, по адресу расположения административного здания местного исполнительного и распорядительного органа по месту первоначального приобретения такими лицами статуса детей-сирот и детей, оставшихся без попечения родителей, либо по адресу расположения административного здания </w:t>
            </w:r>
            <w:r w:rsidRPr="005E5991">
              <w:rPr>
                <w:rFonts w:ascii="Verdana" w:hAnsi="Verdana"/>
                <w:i/>
                <w:sz w:val="24"/>
                <w:szCs w:val="24"/>
              </w:rPr>
              <w:lastRenderedPageBreak/>
              <w:t>местного исполнительного и распорядительного органа по месту предоставления им первого рабочего места)</w:t>
            </w:r>
            <w:proofErr w:type="gramEnd"/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lastRenderedPageBreak/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заявление</w:t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  <w:r w:rsidRPr="005E5991">
              <w:rPr>
                <w:rFonts w:ascii="Verdana" w:hAnsi="Verdana"/>
                <w:sz w:val="24"/>
                <w:szCs w:val="24"/>
              </w:rPr>
              <w:br/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Документы подаются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управление образования райисполкома,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г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>. Сморгонь, ул. Ленина, 5,  понедельник – пятница с 8 00 до 13-00, с 14-00 до 17-00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Ответственные за выполнение административной процедуры</w:t>
            </w:r>
            <w:proofErr w:type="gramEnd"/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управление образования, главный специалист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Гружевская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 Тамара Николаевна,  тел. 3-76-82,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каб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. 321, на время отсутствия – главный специалист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Ротько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 xml:space="preserve"> Галина Владимировна,  тел. 3-76-92, </w:t>
            </w:r>
            <w:proofErr w:type="spellStart"/>
            <w:r w:rsidRPr="005E5991">
              <w:rPr>
                <w:rFonts w:ascii="Verdana" w:hAnsi="Verdana"/>
                <w:sz w:val="24"/>
                <w:szCs w:val="24"/>
              </w:rPr>
              <w:t>каб</w:t>
            </w:r>
            <w:proofErr w:type="spellEnd"/>
            <w:r w:rsidRPr="005E5991">
              <w:rPr>
                <w:rFonts w:ascii="Verdana" w:hAnsi="Verdana"/>
                <w:sz w:val="24"/>
                <w:szCs w:val="24"/>
              </w:rPr>
              <w:t>. 322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бесплатно 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5 рабочих дней </w:t>
            </w:r>
          </w:p>
        </w:tc>
      </w:tr>
      <w:tr w:rsidR="005E5991" w:rsidRPr="005E5991" w:rsidTr="00C86928"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5E5991">
              <w:rPr>
                <w:rFonts w:ascii="Verdana" w:hAnsi="Verdana"/>
                <w:sz w:val="24"/>
                <w:szCs w:val="24"/>
              </w:rPr>
              <w:t>выдаваемых</w:t>
            </w:r>
            <w:proofErr w:type="gramEnd"/>
            <w:r w:rsidRPr="005E5991">
              <w:rPr>
                <w:rFonts w:ascii="Verdana" w:hAnsi="Verdana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бессрочно</w:t>
            </w:r>
          </w:p>
        </w:tc>
      </w:tr>
      <w:tr w:rsidR="005E5991" w:rsidRPr="005E5991" w:rsidTr="00C86928">
        <w:trPr>
          <w:trHeight w:val="637"/>
        </w:trPr>
        <w:tc>
          <w:tcPr>
            <w:tcW w:w="482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5E5991">
              <w:rPr>
                <w:rFonts w:ascii="Verdana" w:hAnsi="Verdana"/>
                <w:sz w:val="24"/>
                <w:szCs w:val="24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670" w:type="dxa"/>
          </w:tcPr>
          <w:p w:rsidR="005E5991" w:rsidRPr="005E5991" w:rsidRDefault="005E5991" w:rsidP="009D441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E5991" w:rsidRPr="005E5991" w:rsidRDefault="005E5991" w:rsidP="005E5991">
      <w:pPr>
        <w:spacing w:after="0" w:line="280" w:lineRule="exact"/>
        <w:rPr>
          <w:rFonts w:ascii="Verdana" w:hAnsi="Verdana"/>
          <w:sz w:val="24"/>
          <w:szCs w:val="24"/>
        </w:rPr>
      </w:pPr>
    </w:p>
    <w:p w:rsidR="00000000" w:rsidRPr="005E5991" w:rsidRDefault="00C86928">
      <w:pPr>
        <w:rPr>
          <w:rFonts w:ascii="Verdana" w:hAnsi="Verdana"/>
          <w:sz w:val="24"/>
          <w:szCs w:val="24"/>
        </w:rPr>
      </w:pPr>
    </w:p>
    <w:sectPr w:rsidR="00000000" w:rsidRPr="005E5991" w:rsidSect="00C8692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28" w:rsidRDefault="00C86928" w:rsidP="00C86928">
      <w:pPr>
        <w:spacing w:after="0" w:line="240" w:lineRule="auto"/>
      </w:pPr>
      <w:r>
        <w:separator/>
      </w:r>
    </w:p>
  </w:endnote>
  <w:endnote w:type="continuationSeparator" w:id="1">
    <w:p w:rsidR="00C86928" w:rsidRDefault="00C86928" w:rsidP="00C8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28" w:rsidRDefault="00C86928" w:rsidP="00C86928">
      <w:pPr>
        <w:spacing w:after="0" w:line="240" w:lineRule="auto"/>
      </w:pPr>
      <w:r>
        <w:separator/>
      </w:r>
    </w:p>
  </w:footnote>
  <w:footnote w:type="continuationSeparator" w:id="1">
    <w:p w:rsidR="00C86928" w:rsidRDefault="00C86928" w:rsidP="00C8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735"/>
      <w:docPartObj>
        <w:docPartGallery w:val="Номера страниц (вверху страницы)"/>
        <w:docPartUnique/>
      </w:docPartObj>
    </w:sdtPr>
    <w:sdtContent>
      <w:p w:rsidR="00C86928" w:rsidRDefault="00C86928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86928" w:rsidRDefault="00C869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991"/>
    <w:rsid w:val="005E5991"/>
    <w:rsid w:val="00C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E599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928"/>
  </w:style>
  <w:style w:type="paragraph" w:styleId="a6">
    <w:name w:val="footer"/>
    <w:basedOn w:val="a"/>
    <w:link w:val="a7"/>
    <w:uiPriority w:val="99"/>
    <w:semiHidden/>
    <w:unhideWhenUsed/>
    <w:rsid w:val="00C8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2023-02-17T13:54:00Z</dcterms:created>
  <dcterms:modified xsi:type="dcterms:W3CDTF">2023-02-17T14:06:00Z</dcterms:modified>
</cp:coreProperties>
</file>