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78" w:rsidRDefault="00727678">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727678" w:rsidRDefault="00727678">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сентября 2020 г. № 541</w:t>
      </w:r>
    </w:p>
    <w:p w:rsidR="00727678" w:rsidRDefault="00727678">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документах, запрашиваемых при осуществлении административных процедур</w:t>
      </w:r>
    </w:p>
    <w:p w:rsidR="00727678" w:rsidRDefault="00727678">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Совета Министров Республики Беларусь от 23 сентября 2021 г. № 547</w:t>
        </w:r>
      </w:hyperlink>
      <w:r>
        <w:rPr>
          <w:rFonts w:ascii="Times New Roman" w:hAnsi="Times New Roman" w:cs="Times New Roman"/>
          <w:color w:val="000000"/>
          <w:sz w:val="24"/>
          <w:szCs w:val="24"/>
        </w:rPr>
        <w:t xml:space="preserve"> (Национальный правовой Интернет-портал Республики Беларусь, 07.10.2021, 5/49489) &lt;C22100547&gt;;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Совета Министров Республики Беларусь от 14 декабря 2021 г. № 720</w:t>
        </w:r>
      </w:hyperlink>
      <w:r>
        <w:rPr>
          <w:rFonts w:ascii="Times New Roman" w:hAnsi="Times New Roman" w:cs="Times New Roman"/>
          <w:color w:val="000000"/>
          <w:sz w:val="24"/>
          <w:szCs w:val="24"/>
        </w:rPr>
        <w:t xml:space="preserve"> (Национальный правовой Интернет-портал Республики Беларусь, 17.12.2021, 5/49739) &lt;C22100720&gt;;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4 июля 2022 г. № 442</w:t>
        </w:r>
      </w:hyperlink>
      <w:r>
        <w:rPr>
          <w:rFonts w:ascii="Times New Roman" w:hAnsi="Times New Roman" w:cs="Times New Roman"/>
          <w:color w:val="000000"/>
          <w:sz w:val="24"/>
          <w:szCs w:val="24"/>
        </w:rPr>
        <w:t xml:space="preserve"> (Национальный правовой Интернет-портал Республики Беларусь, 07.07.2022, 5/50444) &lt;C22200442&gt;;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9 декабря 2022 г. № 860</w:t>
        </w:r>
      </w:hyperlink>
      <w:r>
        <w:rPr>
          <w:rFonts w:ascii="Times New Roman" w:hAnsi="Times New Roman" w:cs="Times New Roman"/>
          <w:color w:val="000000"/>
          <w:sz w:val="24"/>
          <w:szCs w:val="24"/>
        </w:rPr>
        <w:t xml:space="preserve"> (Национальный правовой Интернет-портал Республики Беларусь, 14.12.2022, 5/51085) &lt;C22200860&gt;;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14 февраля 2023 г. № 124</w:t>
        </w:r>
      </w:hyperlink>
      <w:r>
        <w:rPr>
          <w:rFonts w:ascii="Times New Roman" w:hAnsi="Times New Roman" w:cs="Times New Roman"/>
          <w:color w:val="000000"/>
          <w:sz w:val="24"/>
          <w:szCs w:val="24"/>
        </w:rPr>
        <w:t xml:space="preserve"> (Национальный правовой Интернет-портал Республики Беларусь, 18.02.2023, 5/51382) &lt;C22300124&gt;;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27 февраля 2023 г. № 155</w:t>
        </w:r>
      </w:hyperlink>
      <w:r>
        <w:rPr>
          <w:rFonts w:ascii="Times New Roman" w:hAnsi="Times New Roman" w:cs="Times New Roman"/>
          <w:color w:val="000000"/>
          <w:sz w:val="24"/>
          <w:szCs w:val="24"/>
        </w:rPr>
        <w:t xml:space="preserve"> (Национальный правовой Интернет-портал Республики Беларусь, 10.03.2023, 5/51433) &lt;C22300155&gt;;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19 мая 2023 г. № 327</w:t>
        </w:r>
      </w:hyperlink>
      <w:r>
        <w:rPr>
          <w:rFonts w:ascii="Times New Roman" w:hAnsi="Times New Roman" w:cs="Times New Roman"/>
          <w:color w:val="000000"/>
          <w:sz w:val="24"/>
          <w:szCs w:val="24"/>
        </w:rPr>
        <w:t xml:space="preserve"> (Национальный правовой Интернет-портал Республики Беларусь, 23.05.2023, 5/51702) &lt;C22300327&gt;;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6 июля 2023 г. № 446</w:t>
        </w:r>
      </w:hyperlink>
      <w:r>
        <w:rPr>
          <w:rFonts w:ascii="Times New Roman" w:hAnsi="Times New Roman" w:cs="Times New Roman"/>
          <w:color w:val="000000"/>
          <w:sz w:val="24"/>
          <w:szCs w:val="24"/>
        </w:rPr>
        <w:t xml:space="preserve"> (Национальный правовой Интернет-портал Республики Беларусь, 11.07.2023, 5/51884) &lt;C22300446&gt;;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Совета Министров Республики Беларусь от 23 мая 2024 г. № 364</w:t>
        </w:r>
      </w:hyperlink>
      <w:r>
        <w:rPr>
          <w:rFonts w:ascii="Times New Roman" w:hAnsi="Times New Roman" w:cs="Times New Roman"/>
          <w:color w:val="000000"/>
          <w:sz w:val="24"/>
          <w:szCs w:val="24"/>
        </w:rPr>
        <w:t xml:space="preserve"> (Национальный правовой Интернет-портал Республики Беларусь, 29.05.2024, 5/53496) &lt;C22400364&gt;;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Совета Министров Республики Беларусь от 28 июня 2024 г. № 460</w:t>
        </w:r>
      </w:hyperlink>
      <w:r>
        <w:rPr>
          <w:rFonts w:ascii="Times New Roman" w:hAnsi="Times New Roman" w:cs="Times New Roman"/>
          <w:color w:val="000000"/>
          <w:sz w:val="24"/>
          <w:szCs w:val="24"/>
        </w:rPr>
        <w:t xml:space="preserve"> (Национальный правовой Интернет-портал Республики Беларусь, 09.07.2024, 5/53617) &lt;C22400460&gt;;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Постановление Совета Министров Республики Беларусь от 23 августа 2024 г. № 619</w:t>
        </w:r>
      </w:hyperlink>
      <w:r>
        <w:rPr>
          <w:rFonts w:ascii="Times New Roman" w:hAnsi="Times New Roman" w:cs="Times New Roman"/>
          <w:color w:val="000000"/>
          <w:sz w:val="24"/>
          <w:szCs w:val="24"/>
        </w:rPr>
        <w:t xml:space="preserve"> (Национальный правовой Интернет-портал Республики Беларусь, 31.08.2024, 5/53840) &lt;C22400619&gt;;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Совета Министров Республики Беларусь от 30 сентября 2024 г. № 717</w:t>
        </w:r>
      </w:hyperlink>
      <w:r>
        <w:rPr>
          <w:rFonts w:ascii="Times New Roman" w:hAnsi="Times New Roman" w:cs="Times New Roman"/>
          <w:color w:val="000000"/>
          <w:sz w:val="24"/>
          <w:szCs w:val="24"/>
        </w:rPr>
        <w:t xml:space="preserve"> (Национальный правовой Интернет-портал Республики Беларусь, 02.10.2024, 5/53993) &lt;C22400717&gt;;</w:t>
      </w:r>
    </w:p>
    <w:p w:rsidR="00727678" w:rsidRDefault="00727678">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Постановление Совета Министров Республики Беларусь от 23 октября 2024 г. № 786</w:t>
        </w:r>
      </w:hyperlink>
      <w:r>
        <w:rPr>
          <w:rFonts w:ascii="Times New Roman" w:hAnsi="Times New Roman" w:cs="Times New Roman"/>
          <w:color w:val="000000"/>
          <w:sz w:val="24"/>
          <w:szCs w:val="24"/>
        </w:rPr>
        <w:t xml:space="preserve"> (Национальный правовой Интернет-портал Республики Беларусь, 25.10.2024, 5/54097) &lt;C22400786&gt;</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 основании абзаца четвертого </w:t>
      </w:r>
      <w:hyperlink r:id="rId17" w:history="1">
        <w:r>
          <w:rPr>
            <w:rFonts w:ascii="Times New Roman" w:hAnsi="Times New Roman" w:cs="Times New Roman"/>
            <w:color w:val="0000FF"/>
            <w:sz w:val="24"/>
            <w:szCs w:val="24"/>
          </w:rPr>
          <w:t>подпункта 4.2</w:t>
        </w:r>
      </w:hyperlink>
      <w:r>
        <w:rPr>
          <w:rFonts w:ascii="Times New Roman" w:hAnsi="Times New Roman" w:cs="Times New Roman"/>
          <w:color w:val="000000"/>
          <w:sz w:val="24"/>
          <w:szCs w:val="24"/>
        </w:rPr>
        <w:t xml:space="preserve"> пункта 4 Указа Президента Республики Беларусь от 4 декабря 2014 г. № 566 «О вопросах осуществления административных процедур», </w:t>
      </w:r>
      <w:hyperlink r:id="rId18"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w:t>
      </w:r>
      <w:hyperlink r:id="rId19"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2CN__point_2"/>
      <w:bookmarkEnd w:id="1"/>
      <w:r>
        <w:rPr>
          <w:rFonts w:ascii="Times New Roman" w:hAnsi="Times New Roman" w:cs="Times New Roman"/>
          <w:color w:val="000000"/>
          <w:sz w:val="24"/>
          <w:szCs w:val="24"/>
        </w:rPr>
        <w:t>2. Настоящее постановление вступает в силу после его официального опубликования.</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820"/>
        <w:gridCol w:w="4820"/>
      </w:tblGrid>
      <w:tr w:rsidR="00727678">
        <w:tc>
          <w:tcPr>
            <w:tcW w:w="2500" w:type="pct"/>
            <w:tcBorders>
              <w:top w:val="nil"/>
              <w:left w:val="nil"/>
              <w:bottom w:val="nil"/>
              <w:right w:val="nil"/>
            </w:tcBorders>
            <w:vAlign w:val="bottom"/>
          </w:tcPr>
          <w:p w:rsidR="00727678" w:rsidRDefault="00727678">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727678" w:rsidRDefault="00727678">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Р.Головченко</w:t>
            </w:r>
          </w:p>
        </w:tc>
      </w:tr>
    </w:tbl>
    <w:p w:rsidR="00727678" w:rsidRDefault="0072767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27678" w:rsidRDefault="00727678">
      <w:pPr>
        <w:autoSpaceDE w:val="0"/>
        <w:autoSpaceDN w:val="0"/>
        <w:adjustRightInd w:val="0"/>
        <w:spacing w:after="0" w:line="300" w:lineRule="auto"/>
        <w:rPr>
          <w:rFonts w:ascii="Times New Roman" w:hAnsi="Times New Roman" w:cs="Times New Roman"/>
          <w:color w:val="000000"/>
          <w:sz w:val="24"/>
          <w:szCs w:val="24"/>
        </w:rPr>
      </w:pP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498"/>
        <w:gridCol w:w="2142"/>
      </w:tblGrid>
      <w:tr w:rsidR="00727678">
        <w:tc>
          <w:tcPr>
            <w:tcW w:w="3850" w:type="pct"/>
            <w:tcBorders>
              <w:top w:val="nil"/>
              <w:left w:val="nil"/>
              <w:bottom w:val="nil"/>
              <w:right w:val="nil"/>
            </w:tcBorders>
          </w:tcPr>
          <w:p w:rsidR="00727678" w:rsidRDefault="0072767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727678" w:rsidRDefault="00727678">
            <w:pPr>
              <w:autoSpaceDE w:val="0"/>
              <w:autoSpaceDN w:val="0"/>
              <w:adjustRightInd w:val="0"/>
              <w:spacing w:after="30" w:line="300" w:lineRule="auto"/>
              <w:rPr>
                <w:rFonts w:ascii="Times New Roman" w:hAnsi="Times New Roman" w:cs="Times New Roman"/>
                <w:color w:val="000000"/>
                <w:sz w:val="24"/>
                <w:szCs w:val="24"/>
              </w:rPr>
            </w:pPr>
            <w:bookmarkStart w:id="2" w:name="CA0_ПРЛ__1CN__прил"/>
            <w:bookmarkEnd w:id="2"/>
            <w:r>
              <w:rPr>
                <w:rFonts w:ascii="Times New Roman" w:hAnsi="Times New Roman" w:cs="Times New Roman"/>
                <w:color w:val="000000"/>
                <w:sz w:val="24"/>
                <w:szCs w:val="24"/>
              </w:rPr>
              <w:t>Приложение</w:t>
            </w:r>
          </w:p>
          <w:p w:rsidR="00727678" w:rsidRDefault="0072767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постановлению </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p>
          <w:p w:rsidR="00727678" w:rsidRDefault="0072767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18.09.2020 № 541</w:t>
            </w:r>
          </w:p>
        </w:tc>
      </w:tr>
    </w:tbl>
    <w:p w:rsidR="00727678" w:rsidRDefault="00727678">
      <w:pPr>
        <w:autoSpaceDE w:val="0"/>
        <w:autoSpaceDN w:val="0"/>
        <w:adjustRightInd w:val="0"/>
        <w:spacing w:before="240" w:after="240" w:line="300" w:lineRule="auto"/>
        <w:rPr>
          <w:rFonts w:ascii="Times New Roman" w:hAnsi="Times New Roman" w:cs="Times New Roman"/>
          <w:b/>
          <w:color w:val="000000"/>
          <w:sz w:val="24"/>
          <w:szCs w:val="24"/>
        </w:rPr>
      </w:pPr>
      <w:bookmarkStart w:id="3" w:name="CA0_ПРЛ__1_ЗПР__1CN__заг_прил"/>
      <w:bookmarkEnd w:id="3"/>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single" w:sz="6" w:space="0" w:color="000000"/>
              <w:left w:val="nil"/>
              <w:bottom w:val="single" w:sz="6" w:space="0" w:color="000000"/>
              <w:right w:val="single" w:sz="6" w:space="0" w:color="000000"/>
            </w:tcBorders>
            <w:vAlign w:val="center"/>
          </w:tcPr>
          <w:p w:rsidR="00727678" w:rsidRDefault="0072767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административной процедуры</w:t>
            </w:r>
          </w:p>
        </w:tc>
        <w:tc>
          <w:tcPr>
            <w:tcW w:w="800" w:type="pct"/>
            <w:tcBorders>
              <w:top w:val="single" w:sz="6" w:space="0" w:color="000000"/>
              <w:left w:val="single" w:sz="6" w:space="0" w:color="000000"/>
              <w:bottom w:val="single" w:sz="6" w:space="0" w:color="000000"/>
              <w:right w:val="single" w:sz="6" w:space="0" w:color="000000"/>
            </w:tcBorders>
            <w:vAlign w:val="center"/>
          </w:tcPr>
          <w:p w:rsidR="00727678" w:rsidRDefault="0072767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Структурный элемент перечня*</w:t>
            </w:r>
          </w:p>
        </w:tc>
        <w:tc>
          <w:tcPr>
            <w:tcW w:w="2350" w:type="pct"/>
            <w:tcBorders>
              <w:top w:val="single" w:sz="6" w:space="0" w:color="000000"/>
              <w:left w:val="single" w:sz="6" w:space="0" w:color="000000"/>
              <w:bottom w:val="single" w:sz="6" w:space="0" w:color="000000"/>
              <w:right w:val="nil"/>
            </w:tcBorders>
            <w:vAlign w:val="center"/>
          </w:tcPr>
          <w:p w:rsidR="00727678" w:rsidRDefault="00727678">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Документы и (или) сведения, запрашиваемые местными исполнительными и распорядительными органами</w:t>
            </w:r>
          </w:p>
        </w:tc>
      </w:tr>
      <w:tr w:rsidR="00727678">
        <w:tblPrEx>
          <w:tblCellSpacing w:w="-8" w:type="nil"/>
        </w:tblPrEx>
        <w:trPr>
          <w:trHeight w:val="240"/>
          <w:tblCellSpacing w:w="-8" w:type="nil"/>
        </w:trPr>
        <w:tc>
          <w:tcPr>
            <w:tcW w:w="1750" w:type="pct"/>
            <w:tcBorders>
              <w:top w:val="single" w:sz="6" w:space="0" w:color="000000"/>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00" w:type="pct"/>
            <w:tcBorders>
              <w:top w:val="single" w:sz="6" w:space="0" w:color="000000"/>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 пункта 1.1 </w:t>
            </w:r>
          </w:p>
        </w:tc>
        <w:tc>
          <w:tcPr>
            <w:tcW w:w="2350" w:type="pct"/>
            <w:tcBorders>
              <w:top w:val="single" w:sz="6" w:space="0" w:color="000000"/>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tc>
      </w:tr>
    </w:tbl>
    <w:p w:rsidR="00727678" w:rsidRDefault="00727678">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 состоянии на учете нуждающихся в улучшении жилищных условий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1.1.2[2] пункта 1.1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1.1.4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2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1.1.5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r:id="rId21" w:history="1">
              <w:r>
                <w:rPr>
                  <w:rFonts w:ascii="Times New Roman" w:hAnsi="Times New Roman" w:cs="Times New Roman"/>
                  <w:color w:val="0000FF"/>
                  <w:sz w:val="24"/>
                  <w:szCs w:val="24"/>
                </w:rPr>
                <w:t>подпунктом 1.3</w:t>
              </w:r>
            </w:hyperlink>
            <w:r>
              <w:rPr>
                <w:rFonts w:ascii="Times New Roman" w:hAnsi="Times New Roman" w:cs="Times New Roman"/>
                <w:color w:val="000000"/>
                <w:sz w:val="24"/>
                <w:szCs w:val="24"/>
              </w:rPr>
              <w:t xml:space="preserve"> пункта 1 статьи 36 Жилищного кодекса Республики Беларусь (далее – Жилищный кодекс)</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r:id="rId2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r:id="rId23" w:history="1">
              <w:r>
                <w:rPr>
                  <w:rFonts w:ascii="Times New Roman" w:hAnsi="Times New Roman" w:cs="Times New Roman"/>
                  <w:color w:val="0000FF"/>
                  <w:sz w:val="24"/>
                  <w:szCs w:val="24"/>
                </w:rPr>
                <w:t>подпунктами 1.4–1.6</w:t>
              </w:r>
            </w:hyperlink>
            <w:r>
              <w:rPr>
                <w:rFonts w:ascii="Times New Roman" w:hAnsi="Times New Roman" w:cs="Times New Roman"/>
                <w:color w:val="000000"/>
                <w:sz w:val="24"/>
                <w:szCs w:val="24"/>
              </w:rPr>
              <w:t xml:space="preserve"> пункта 1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hyperlink r:id="rId24" w:history="1">
              <w:r>
                <w:rPr>
                  <w:rFonts w:ascii="Times New Roman" w:hAnsi="Times New Roman" w:cs="Times New Roman"/>
                  <w:color w:val="0000FF"/>
                  <w:sz w:val="24"/>
                  <w:szCs w:val="24"/>
                </w:rPr>
                <w:t>подпунктом 1.5</w:t>
              </w:r>
            </w:hyperlink>
            <w:r>
              <w:rPr>
                <w:rFonts w:ascii="Times New Roman" w:hAnsi="Times New Roman" w:cs="Times New Roman"/>
                <w:color w:val="000000"/>
                <w:sz w:val="24"/>
                <w:szCs w:val="24"/>
              </w:rPr>
              <w:t xml:space="preserve"> пункта 1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r:id="rId25" w:history="1">
              <w:r>
                <w:rPr>
                  <w:rFonts w:ascii="Times New Roman" w:hAnsi="Times New Roman" w:cs="Times New Roman"/>
                  <w:color w:val="0000FF"/>
                  <w:sz w:val="24"/>
                  <w:szCs w:val="24"/>
                </w:rPr>
                <w:t>подпунктом 1.11</w:t>
              </w:r>
            </w:hyperlink>
            <w:r>
              <w:rPr>
                <w:rFonts w:ascii="Times New Roman" w:hAnsi="Times New Roman" w:cs="Times New Roman"/>
                <w:color w:val="000000"/>
                <w:sz w:val="24"/>
                <w:szCs w:val="24"/>
              </w:rPr>
              <w:t xml:space="preserve"> пункта 1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r:id="rId26" w:history="1">
              <w:r>
                <w:rPr>
                  <w:rFonts w:ascii="Times New Roman" w:hAnsi="Times New Roman" w:cs="Times New Roman"/>
                  <w:color w:val="0000FF"/>
                  <w:sz w:val="24"/>
                  <w:szCs w:val="24"/>
                </w:rPr>
                <w:t>подпунктом 1.4</w:t>
              </w:r>
            </w:hyperlink>
            <w:r>
              <w:rPr>
                <w:rFonts w:ascii="Times New Roman" w:hAnsi="Times New Roman" w:cs="Times New Roman"/>
                <w:color w:val="000000"/>
                <w:sz w:val="24"/>
                <w:szCs w:val="24"/>
              </w:rPr>
              <w:t xml:space="preserve"> пункта 1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w:t>
            </w:r>
            <w:hyperlink r:id="rId27"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статьи 36 Жилищного кодекса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Принятие решения об индексации именных приватизационных чеков «Жилье»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1.1.10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начисленной жилищной квоте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Принятие решения о разделении именных приватизационных чеков «Жилье»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1.1.11 пункта 1.1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начисленной жилищной квоте</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1.1.12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Принятие решения об изменении договора найма жилого помещения государственного жилищного фонда:</w:t>
            </w:r>
          </w:p>
        </w:tc>
        <w:tc>
          <w:tcPr>
            <w:tcW w:w="800" w:type="pct"/>
            <w:vMerge w:val="restar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1.1.13 пункта 1.1 </w:t>
            </w:r>
          </w:p>
        </w:tc>
        <w:tc>
          <w:tcPr>
            <w:tcW w:w="2350" w:type="pct"/>
            <w:vMerge w:val="restar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нанимателей, объединяющихся в одну семью</w:t>
            </w:r>
          </w:p>
          <w:p w:rsidR="00727678" w:rsidRDefault="00727678">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вследствие признания нанимателем другого члена семьи</w:t>
            </w:r>
          </w:p>
          <w:p w:rsidR="00727678" w:rsidRDefault="00727678">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члена семьи нанимателя</w:t>
            </w:r>
          </w:p>
        </w:tc>
        <w:tc>
          <w:tcPr>
            <w:tcW w:w="4230" w:type="dxa"/>
            <w:vMerge/>
            <w:tcBorders>
              <w:top w:val="nil"/>
              <w:left w:val="nil"/>
              <w:bottom w:val="nil"/>
              <w:right w:val="nil"/>
            </w:tcBorders>
          </w:tcPr>
          <w:p w:rsidR="00727678" w:rsidRDefault="00727678">
            <w:pPr>
              <w:widowControl w:val="0"/>
              <w:autoSpaceDE w:val="0"/>
              <w:autoSpaceDN w:val="0"/>
              <w:adjustRightInd w:val="0"/>
              <w:spacing w:after="0" w:line="240" w:lineRule="auto"/>
              <w:rPr>
                <w:rFonts w:ascii="Times New Roman" w:hAnsi="Times New Roman" w:cs="Times New Roman"/>
                <w:color w:val="808080"/>
                <w:sz w:val="24"/>
                <w:szCs w:val="24"/>
                <w:lang w:val="x-none"/>
              </w:rPr>
            </w:pPr>
          </w:p>
        </w:tc>
        <w:tc>
          <w:tcPr>
            <w:tcW w:w="12420" w:type="dxa"/>
            <w:vMerge/>
            <w:tcBorders>
              <w:top w:val="nil"/>
              <w:left w:val="nil"/>
              <w:bottom w:val="nil"/>
              <w:right w:val="nil"/>
            </w:tcBorders>
          </w:tcPr>
          <w:p w:rsidR="00727678" w:rsidRDefault="00727678">
            <w:pPr>
              <w:widowControl w:val="0"/>
              <w:autoSpaceDE w:val="0"/>
              <w:autoSpaceDN w:val="0"/>
              <w:adjustRightInd w:val="0"/>
              <w:spacing w:after="0" w:line="240" w:lineRule="auto"/>
              <w:rPr>
                <w:rFonts w:ascii="Times New Roman" w:hAnsi="Times New Roman" w:cs="Times New Roman"/>
                <w:color w:val="808080"/>
                <w:sz w:val="24"/>
                <w:szCs w:val="24"/>
                <w:lang w:val="x-none"/>
              </w:rPr>
            </w:pP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Принятие решения о переводе жилого помещения в нежилое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1.1.14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охранного обязательства, если помещение расположено в здании, имеющем статус историко-культурной ценности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Принятие решения о переводе нежилого помещения в жилое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1.1.15[1] пункта 1.1</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охранного обязательства, если помещение расположено в здании, имеющем статус историко-культурной ценности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Принятие решения о сносе непригодного для проживания жилого помещения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1.1.16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3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17. Принятие решения о согласовании использования не по назначению одноквартирного, блокированного жилого дома или его части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1.1.17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Принятие решения о предоставлении арендного жилья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1.1.18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 Принятие решения о включении арендного жилья в состав жилых помещений социального пользования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1.1.18[1]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Принятие решения о предоставлении освободившейся жилой комнаты государственного жилищного фонда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1.1.19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Принятие решения о предоставлении жилого помещения государственного жилищного фонда меньшего размера взамен занимаемого</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1.1.20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Принятие решения о согласовании (разрешении) переустройства и (или) перепланировки жилого помещения, нежилого помещения в жилом доме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1.1.21[1]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Принятие решения о передаче в собственность жилого помещения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1.1.22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договор найма передаваемого в собственность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на объекты недвижимого имущества (при необходимости предоставления сведений в соответствии с законодательными актами)**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необходимые для установления наличия (отсутствия) фактов, указанных в абзацах седьмом и восьмом части первой </w:t>
            </w:r>
            <w:hyperlink r:id="rId28" w:history="1">
              <w:r>
                <w:rPr>
                  <w:rFonts w:ascii="Times New Roman" w:hAnsi="Times New Roman" w:cs="Times New Roman"/>
                  <w:color w:val="0000FF"/>
                  <w:sz w:val="24"/>
                  <w:szCs w:val="24"/>
                </w:rPr>
                <w:t>подпункта 1.4</w:t>
              </w:r>
            </w:hyperlink>
            <w:r>
              <w:rPr>
                <w:rFonts w:ascii="Times New Roman" w:hAnsi="Times New Roman" w:cs="Times New Roman"/>
                <w:color w:val="000000"/>
                <w:sz w:val="24"/>
                <w:szCs w:val="24"/>
              </w:rPr>
              <w:t xml:space="preserve"> пункта 1 Указа Президента Республики Беларусь от 13 февраля 2023 г. № 37 «Об арендном жилье для военнослужащих»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из единой базы данных, предусмотренной в части первой </w:t>
            </w:r>
            <w:hyperlink r:id="rId29" w:history="1">
              <w:r>
                <w:rPr>
                  <w:rFonts w:ascii="Times New Roman" w:hAnsi="Times New Roman" w:cs="Times New Roman"/>
                  <w:color w:val="0000FF"/>
                  <w:sz w:val="24"/>
                  <w:szCs w:val="24"/>
                </w:rPr>
                <w:t>пункта 10</w:t>
              </w:r>
              <w:r>
                <w:rPr>
                  <w:rFonts w:ascii="Times New Roman" w:hAnsi="Times New Roman" w:cs="Times New Roman"/>
                  <w:color w:val="0000FF"/>
                  <w:sz w:val="24"/>
                  <w:szCs w:val="24"/>
                  <w:vertAlign w:val="superscript"/>
                </w:rPr>
                <w:t>1</w:t>
              </w:r>
            </w:hyperlink>
            <w:r>
              <w:rPr>
                <w:rFonts w:ascii="Times New Roman" w:hAnsi="Times New Roman" w:cs="Times New Roman"/>
                <w:color w:val="000000"/>
                <w:sz w:val="24"/>
                <w:szCs w:val="24"/>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1.1.23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1.1.23[1]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гражданина и членов его семьи на объекты недвижимого имущества**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27. Принятие решения о предоставлении одноразовой субсидии на строительство (реконструкцию) или приобретение жилого помещения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1.1.24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гражданина и членов его семьи на объекты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из базы данных трудоспособных граждан, не занятых в экономике, предусмотренной в абзаце втором </w:t>
            </w:r>
            <w:hyperlink r:id="rId30"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1"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Декрета № 3, по месту регистрации, по месту жительства и (или) месту пребывания гражданина и (или) трудоспособных членов его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ind w:left="285"/>
              <w:rPr>
                <w:rFonts w:ascii="Times New Roman" w:hAnsi="Times New Roman" w:cs="Times New Roman"/>
                <w:color w:val="000000"/>
                <w:sz w:val="24"/>
                <w:szCs w:val="24"/>
              </w:rPr>
            </w:pPr>
            <w:r>
              <w:rPr>
                <w:rFonts w:ascii="Times New Roman" w:hAnsi="Times New Roman" w:cs="Times New Roman"/>
                <w:color w:val="000000"/>
                <w:sz w:val="24"/>
                <w:szCs w:val="24"/>
              </w:rP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1.1.28 пункта 1.1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1.1.31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получателя субсидии на уплату части процентов (субсидий) и членов его семьи на объекты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из базы данных трудоспособных граждан, не занятых в экономике, предусмотренной в абзаце втором </w:t>
            </w:r>
            <w:hyperlink r:id="rId32"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w:t>
            </w:r>
            <w:hyperlink r:id="rId33" w:history="1">
              <w:r>
                <w:rPr>
                  <w:rFonts w:ascii="Times New Roman" w:hAnsi="Times New Roman" w:cs="Times New Roman"/>
                  <w:color w:val="0000FF"/>
                  <w:sz w:val="24"/>
                  <w:szCs w:val="24"/>
                </w:rPr>
                <w:t>Декрета № 3</w:t>
              </w:r>
            </w:hyperlink>
            <w:r>
              <w:rPr>
                <w:rFonts w:ascii="Times New Roman" w:hAnsi="Times New Roman" w:cs="Times New Roman"/>
                <w:color w:val="000000"/>
                <w:sz w:val="24"/>
                <w:szCs w:val="24"/>
              </w:rPr>
              <w:t xml:space="preserve">,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4"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Декрета № 3, по месту регистрации, по месту жительства и (или) месту пребывания гражданина и (или) трудоспособных членов его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из единой базы данных, предусмотренной в части первой </w:t>
            </w:r>
            <w:hyperlink r:id="rId35" w:history="1">
              <w:r>
                <w:rPr>
                  <w:rFonts w:ascii="Times New Roman" w:hAnsi="Times New Roman" w:cs="Times New Roman"/>
                  <w:color w:val="0000FF"/>
                  <w:sz w:val="24"/>
                  <w:szCs w:val="24"/>
                </w:rPr>
                <w:t>пункта 10</w:t>
              </w:r>
              <w:r>
                <w:rPr>
                  <w:rFonts w:ascii="Times New Roman" w:hAnsi="Times New Roman" w:cs="Times New Roman"/>
                  <w:color w:val="0000FF"/>
                  <w:sz w:val="24"/>
                  <w:szCs w:val="24"/>
                  <w:vertAlign w:val="superscript"/>
                </w:rPr>
                <w:t>1</w:t>
              </w:r>
            </w:hyperlink>
            <w:r>
              <w:rPr>
                <w:rFonts w:ascii="Times New Roman" w:hAnsi="Times New Roman" w:cs="Times New Roman"/>
                <w:color w:val="000000"/>
                <w:sz w:val="24"/>
                <w:szCs w:val="24"/>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w:t>
            </w:r>
            <w:hyperlink r:id="rId36"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w:t>
            </w:r>
            <w:hyperlink r:id="rId37" w:history="1">
              <w:r>
                <w:rPr>
                  <w:rFonts w:ascii="Times New Roman" w:hAnsi="Times New Roman" w:cs="Times New Roman"/>
                  <w:color w:val="0000FF"/>
                  <w:sz w:val="24"/>
                  <w:szCs w:val="24"/>
                </w:rPr>
                <w:t>подпункта 1.14</w:t>
              </w:r>
            </w:hyperlink>
            <w:r>
              <w:rPr>
                <w:rFonts w:ascii="Times New Roman" w:hAnsi="Times New Roman" w:cs="Times New Roman"/>
                <w:color w:val="000000"/>
                <w:sz w:val="24"/>
                <w:szCs w:val="24"/>
              </w:rPr>
              <w:t xml:space="preserve">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1.1.32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1.1.33 пункта 1.1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 в случае регистрации в другом населенном пункте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информация о принадлежащих лицу правах на объекты недвижимого имущества на гражданина и членов его семьи по месту подачи заявления**</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гражданина и членов его семьи на объекты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из базы данных трудоспособных граждан, не занятых в экономике, предусмотренной в абзаце втором </w:t>
            </w:r>
            <w:hyperlink r:id="rId38"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w:t>
            </w:r>
            <w:hyperlink r:id="rId39"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Декрета № 3, по месту регистрации, по месту жительства и (или) месту пребывания гражданина и (или) трудоспособных членов его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 или изолированное помещение**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уплате лицом, отчуждающим жилой дом, налогов, сборов (пошлин), связанных с нахождением в собственности жилого дома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5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37. Назначение пособия в связи с рождением ребенка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39. Назначение пособия женщинам, ставшим на учет в организациях здравоохранения до 12-недельного срока беременности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 Назначение пособия по уходу за ребенком в возрасте до 3 лет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Назначение пособия семьям на детей в возрасте от 3 до 18 лет в период воспитания ребенка в возрасте до 3 лет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2.9[1]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Назначение пособия на детей старше 3 лет из отдельных категорий семей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2.12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средней численности работников коммерческой микроорганизации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Назначение пособия по уходу за ребенком-инвалидом в возрасте до 18 лет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2.15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2.32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 и состава семьи)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2.33.1 пункта 2.33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сведений о месте их жительства)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40"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2.33.2 пункта 2.33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6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2.33.4 пункта 2.33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занимаемом в данном населенном пункте жилом помещении, месте жительства и составе семьи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41"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факта обеспечения продуктами питания ребенка по месту регистрации родителя (при регистрации родителей по разным адресам)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документы и (или) сведения, необходимые для обеспечения продуктами питания детей первых двух лет жизни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47</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2.34[1]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предоставлении (непредоставлении) компенсации по прежнему месту жительства заявителя – при изменении места жительства (места пребывания) заявителя (при необходимости)</w:t>
            </w:r>
          </w:p>
        </w:tc>
      </w:tr>
      <w:tr w:rsidR="00727678">
        <w:tblPrEx>
          <w:tblCellSpacing w:w="-8" w:type="nil"/>
        </w:tblPrEx>
        <w:trPr>
          <w:trHeight w:val="240"/>
          <w:tblCellSpacing w:w="-8" w:type="nil"/>
        </w:trPr>
        <w:tc>
          <w:tcPr>
            <w:tcW w:w="5000" w:type="pct"/>
            <w:gridSpan w:val="3"/>
            <w:tcBorders>
              <w:top w:val="nil"/>
              <w:left w:val="nil"/>
              <w:bottom w:val="nil"/>
              <w:right w:val="nil"/>
            </w:tcBorders>
          </w:tcPr>
          <w:p w:rsidR="00727678" w:rsidRDefault="00727678">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1" type="#_x0000_t75" style="width:7.5pt;height:7.5pt">
                  <v:imagedata r:id="rId20" o:title=""/>
                </v:shape>
              </w:pic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48. Выплата пособия на погребение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2.35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на дату смерти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периодах уплаты обязательных страховых взносов для назначения пособия на погребение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регистрации гражданина в качестве безработного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49. Принятие решения о назначении пособия по уходу за инвалидом I группы либо лицом, достигшим 80-летнего возраста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2.38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по месту жительства инвалида I группы)</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в качестве безработного, о непрохождении заинтересованным лицом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Министерства юстиции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w:t>
            </w:r>
            <w:hyperlink r:id="rId42" w:history="1">
              <w:r>
                <w:rPr>
                  <w:rFonts w:ascii="Times New Roman" w:hAnsi="Times New Roman" w:cs="Times New Roman"/>
                  <w:color w:val="0000FF"/>
                  <w:sz w:val="24"/>
                  <w:szCs w:val="24"/>
                </w:rPr>
                <w:t>главах 19–22</w:t>
              </w:r>
            </w:hyperlink>
            <w:r>
              <w:rPr>
                <w:rFonts w:ascii="Times New Roman" w:hAnsi="Times New Roman" w:cs="Times New Roman"/>
                <w:color w:val="000000"/>
                <w:sz w:val="24"/>
                <w:szCs w:val="24"/>
              </w:rPr>
              <w:t xml:space="preserve"> и </w:t>
            </w:r>
            <w:hyperlink r:id="rId43" w:history="1">
              <w:r>
                <w:rPr>
                  <w:rFonts w:ascii="Times New Roman" w:hAnsi="Times New Roman" w:cs="Times New Roman"/>
                  <w:color w:val="0000FF"/>
                  <w:sz w:val="24"/>
                  <w:szCs w:val="24"/>
                </w:rPr>
                <w:t>24</w:t>
              </w:r>
            </w:hyperlink>
            <w:r>
              <w:rPr>
                <w:rFonts w:ascii="Times New Roman" w:hAnsi="Times New Roman" w:cs="Times New Roman"/>
                <w:color w:val="000000"/>
                <w:sz w:val="24"/>
                <w:szCs w:val="24"/>
              </w:rPr>
              <w:t xml:space="preserve">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 Принятие решения о назначении семейного капитала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2.46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2.47.1 пункта 2.47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проживающих членов его семьи и отдельно проживающего супруга**, – при обращении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совместно проживавших членов его семьи и отдельно проживавшего супруга**, – при обращении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направлении на строительство (реконструкцию) – при обращении за досрочным распоряжением средствами семейного капитала на строительство (реконструкцию) жилого помещения в составе организации застройщиков либо на основании договора создания объекта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строительство одноквартирных жилых домов, квартир в блокированных жилых домах</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2.47.2 пункта 2.47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2.47.3 пункта 2.47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подпункт 2.47.4 пункта 2.47</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r>
              <w:rPr>
                <w:rFonts w:ascii="Times New Roman" w:hAnsi="Times New Roman" w:cs="Times New Roman"/>
                <w:color w:val="000000"/>
                <w:sz w:val="24"/>
                <w:szCs w:val="24"/>
              </w:rPr>
              <w:br/>
            </w:r>
            <w:r>
              <w:rPr>
                <w:rFonts w:ascii="Times New Roman" w:hAnsi="Times New Roman" w:cs="Times New Roman"/>
                <w:color w:val="000000"/>
                <w:sz w:val="24"/>
                <w:szCs w:val="24"/>
              </w:rPr>
              <w:br/>
              <w:t>сведения о лишении родительских прав, отмене усыновления (удочерения), отобрании ребенка (детей) у родителей по решению суда, отказе от ребенка (детей)</w:t>
            </w:r>
            <w:r>
              <w:rPr>
                <w:rFonts w:ascii="Times New Roman" w:hAnsi="Times New Roman" w:cs="Times New Roman"/>
                <w:color w:val="000000"/>
                <w:sz w:val="24"/>
                <w:szCs w:val="24"/>
              </w:rPr>
              <w:br/>
            </w:r>
            <w:r>
              <w:rPr>
                <w:rFonts w:ascii="Times New Roman" w:hAnsi="Times New Roman" w:cs="Times New Roman"/>
                <w:color w:val="000000"/>
                <w:sz w:val="24"/>
                <w:szCs w:val="24"/>
              </w:rPr>
              <w:b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(удочерителя)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b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2.48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7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3.8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56. Выдача удостоверения пострадавшего от катастрофы на Чернобыльской АЭС, других радиационных аварий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57. Выдача удостоверения многодетной семьи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3.15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(справки)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58. Выдача акта обследования условий жизни кандидата в усыновители (удочерители)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кандидата в усыновители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судимости у кандидата в усыновители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59. Принятие решения об установлении опеки (попечительства) над совершеннолетним и назначении опекуна (попечителя)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кандидата в опекуны (попечители)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опекуны (попечители) родительских прав, было ли ранее в отношении него отменено усыновление (удочерение)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Принятие решения об установлении опеки (попечительства) над несовершеннолетним и назначении опекуна (попечителя)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4.4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кандидата в опекуны (попечители)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месте работы, службы и занимаемой должности кандидата в опекуны (попечители)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принадлежащих кандидату в опекуны (попечители) правах на объекты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4.5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ребенка, подопечного</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Принятие решения о передаче ребенка (детей) на воспитание в приемную семью</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4.6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справки о занимаемом в данном населенном пункте жилом помещении, месте жительства и составе семьи кандидатов в приемные родители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Принятие решения о создании детского дома семейного типа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кандидата в родители-воспитатели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состоянии пожарной безопасности жилого помещения, в котором создается детский дом семейного типа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Принятие решения об изменении фамилии несовершеннолетнего и собственного имени несовершеннолетнего старше 6 лет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содержащая сведения из записи акта о рождении, если запись о родителях ребенка произведена в соответствии со </w:t>
            </w:r>
            <w:hyperlink r:id="rId44"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Кодекса Республики Беларусь о браке и семье</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уведомление о возбуждении ходатайства об изменении фамилии ребенка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Принятие решения об объявлении несовершеннолетнего полностью дееспособным (эмансипация)</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4.10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на несовершеннолетнего</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размере получаемой несовершеннолетним заработной платы либо доходов</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об осуществлении деятельности по оказанию услуг в сфере агроэкотуризма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8.4</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перечня</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содержащая сведения из записей актов гражданского состояния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находящихся в собственности гражданина и членов его семьи жилых домах в населенном пункте по месту их жительства (пребывания)**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8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8.10</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tc>
      </w:tr>
      <w:tr w:rsidR="00727678">
        <w:tblPrEx>
          <w:tblCellSpacing w:w="-8" w:type="nil"/>
        </w:tblPrEx>
        <w:trPr>
          <w:trHeight w:val="240"/>
          <w:tblCellSpacing w:w="-8" w:type="nil"/>
        </w:trPr>
        <w:tc>
          <w:tcPr>
            <w:tcW w:w="5000" w:type="pct"/>
            <w:gridSpan w:val="3"/>
            <w:tcBorders>
              <w:top w:val="nil"/>
              <w:left w:val="nil"/>
              <w:bottom w:val="nil"/>
              <w:right w:val="nil"/>
            </w:tcBorders>
          </w:tcPr>
          <w:p w:rsidR="00727678" w:rsidRDefault="00727678">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0" type="#_x0000_t75" style="width:7.5pt;height:7.5pt">
                  <v:imagedata r:id="rId20" o:title=""/>
                </v:shape>
              </w:pic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9.3.1 пункта 9.3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условия на инженерно-техническое обеспечение объекта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9.3.2 пункта 9.3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Выдача решения о продлении срока строительства капитального строения в виде жилого дома, дачи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9.3.5 пункта 9.3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подпункт 9.3.6 пункта 9.3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70. Принятие решения по самовольному строительству в установленном порядке</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9.4 </w:t>
            </w:r>
          </w:p>
        </w:tc>
        <w:tc>
          <w:tcPr>
            <w:tcW w:w="2350" w:type="pct"/>
            <w:tcBorders>
              <w:top w:val="nil"/>
              <w:left w:val="nil"/>
              <w:bottom w:val="nil"/>
              <w:right w:val="nil"/>
            </w:tcBorders>
          </w:tcPr>
          <w:p w:rsidR="00727678" w:rsidRDefault="0072767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 (для блокированных жилых домов, одноквартирных жилых домов, а также нежилых капитальных построек на придомовой территории)**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 Оказание услуг по газификации одноквартирного, блокированного жилого дома с оказанием гражданину комплексной услуги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10.3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10.6[2]</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централизованного теплоснабжения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централизованного газоснабжения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принадлежащих гражданину правах на объекты недвижимого имущества**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блокированных и многоквартирных жилых домах</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10.6[3]</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(при необходимости)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акта осмотра (допуска) электроустановки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8"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10.19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с газоснабжающей организацией вопроса о возможности газификации эксплуатируемого жилищного фонда гражданина</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10.21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9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 Принятие решения о постановке граждан на учет нуждающихся в местах хранения транспортных средств</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15.19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w:t>
            </w:r>
            <w:hyperlink r:id="rId45"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15.22</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Pr>
                <w:rFonts w:ascii="Times New Roman" w:hAnsi="Times New Roman" w:cs="Times New Roman"/>
                <w:color w:val="000000"/>
                <w:sz w:val="24"/>
                <w:szCs w:val="24"/>
                <w:vertAlign w:val="superscript"/>
              </w:rPr>
              <w:t>5</w:t>
            </w:r>
            <w:r>
              <w:rPr>
                <w:rFonts w:ascii="Times New Roman" w:hAnsi="Times New Roman" w:cs="Times New Roman"/>
                <w:color w:val="000000"/>
                <w:sz w:val="24"/>
                <w:szCs w:val="24"/>
              </w:rPr>
              <w:t>.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15.28</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76. Выдача разрешения на удаление или пересадку объектов растительного мира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16.6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77. Исключен</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18.16</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в собственности недвижимого имущества, транспортных средств</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7"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374"/>
        <w:gridCol w:w="1542"/>
        <w:gridCol w:w="4724"/>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78</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Принятие решения о применении сбора за осуществление ремесленной деятельности</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18.16[1]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присвоении физическому лицу статуса народного мастера (в отношении народных мастеров) – из Министерства культуры</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членстве физического лица в общественном объединении «Белорусский союз мастеров народного творчества» (в отношении членов данного общественного объединения) – из этого общественного объединения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 (в отношении физических лиц, зарегистрированных по месту жительства и фактически проживающих в таких населенных пунктах) – из поселкового, сельского исполнительного комитета в соответствии с регистрацией по месту жительства физического лица</w:t>
            </w:r>
          </w:p>
        </w:tc>
      </w:tr>
      <w:tr w:rsidR="00727678">
        <w:tblPrEx>
          <w:tblCellSpacing w:w="-8" w:type="nil"/>
        </w:tblPrEx>
        <w:trPr>
          <w:trHeight w:val="240"/>
          <w:tblCellSpacing w:w="-8" w:type="nil"/>
        </w:trPr>
        <w:tc>
          <w:tcPr>
            <w:tcW w:w="5000" w:type="pct"/>
            <w:gridSpan w:val="3"/>
            <w:tcBorders>
              <w:top w:val="nil"/>
              <w:left w:val="nil"/>
              <w:bottom w:val="nil"/>
              <w:right w:val="nil"/>
            </w:tcBorders>
          </w:tcPr>
          <w:p w:rsidR="00727678" w:rsidRDefault="00727678">
            <w:pPr>
              <w:autoSpaceDE w:val="0"/>
              <w:autoSpaceDN w:val="0"/>
              <w:adjustRightInd w:val="0"/>
              <w:spacing w:before="120" w:after="0" w:line="300" w:lineRule="auto"/>
              <w:ind w:left="1140"/>
              <w:jc w:val="both"/>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8" type="#_x0000_t75" style="width:7.5pt;height:7.5pt">
                  <v:imagedata r:id="rId20" o:title=""/>
                </v:shape>
              </w:pict>
            </w:r>
          </w:p>
          <w:p w:rsidR="00727678" w:rsidRDefault="00727678">
            <w:pPr>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c>
      </w:tr>
      <w:tr w:rsidR="00727678">
        <w:tblPrEx>
          <w:tblCellSpacing w:w="-8" w:type="nil"/>
        </w:tblPrEx>
        <w:trPr>
          <w:trHeight w:val="240"/>
          <w:tblCellSpacing w:w="-8" w:type="nil"/>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79. Принятие решения об изменении установленного законодательством срока уплаты налога, сбора (пошлины), пеней</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18.17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наличии у гражданина в собственности недвижимого имущества, транспортных средств</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09"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22.8 </w:t>
            </w:r>
          </w:p>
        </w:tc>
        <w:tc>
          <w:tcPr>
            <w:tcW w:w="2350" w:type="pct"/>
            <w:tcBorders>
              <w:top w:val="nil"/>
              <w:left w:val="nil"/>
              <w:bottom w:val="nil"/>
              <w:right w:val="nil"/>
            </w:tcBorders>
          </w:tcPr>
          <w:p w:rsidR="00727678" w:rsidRDefault="0072767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0"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1"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2"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22.9[2]</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земельный участок**</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3"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22.9[3]</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4"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22.24 </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последнем месте жительства наследодателя и о составе его семьи на день смерти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5"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0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22.24[1]</w:t>
            </w:r>
          </w:p>
        </w:tc>
        <w:tc>
          <w:tcPr>
            <w:tcW w:w="2350" w:type="pct"/>
            <w:tcBorders>
              <w:top w:val="nil"/>
              <w:left w:val="nil"/>
              <w:bottom w:val="nil"/>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6" type="#_x0000_t75" style="width:7.5pt;height:7.5pt">
            <v:imagedata r:id="rId20" o:title=""/>
          </v:shape>
        </w:pict>
      </w:r>
    </w:p>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3444"/>
        <w:gridCol w:w="1573"/>
        <w:gridCol w:w="4623"/>
      </w:tblGrid>
      <w:tr w:rsidR="00727678">
        <w:trPr>
          <w:trHeight w:val="240"/>
        </w:trPr>
        <w:tc>
          <w:tcPr>
            <w:tcW w:w="1750" w:type="pct"/>
            <w:tcBorders>
              <w:top w:val="nil"/>
              <w:left w:val="nil"/>
              <w:bottom w:val="single" w:sz="6" w:space="0" w:color="auto"/>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00" w:type="pct"/>
            <w:tcBorders>
              <w:top w:val="nil"/>
              <w:left w:val="nil"/>
              <w:bottom w:val="single" w:sz="6" w:space="0" w:color="auto"/>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пункт 22.24[2]</w:t>
            </w:r>
          </w:p>
        </w:tc>
        <w:tc>
          <w:tcPr>
            <w:tcW w:w="2350" w:type="pct"/>
            <w:tcBorders>
              <w:top w:val="nil"/>
              <w:left w:val="nil"/>
              <w:bottom w:val="single" w:sz="6" w:space="0" w:color="auto"/>
              <w:right w:val="nil"/>
            </w:tcBorders>
          </w:tcPr>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справка о занимаемом в данном населенном пункте жилом помещении, месте жительства и составе семьи</w:t>
            </w:r>
          </w:p>
          <w:p w:rsidR="00727678" w:rsidRDefault="00727678">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bl>
    <w:p w:rsidR="00727678" w:rsidRDefault="00727678">
      <w:pPr>
        <w:widowControl w:val="0"/>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117" type="#_x0000_t75" style="width:7.5pt;height:7.5pt">
            <v:imagedata r:id="rId20" o:title=""/>
          </v:shape>
        </w:pic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4" w:name="_GoBack"/>
      <w:bookmarkEnd w:id="4"/>
    </w:p>
    <w:p w:rsidR="00727678" w:rsidRDefault="0072767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46"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r>
        <w:rPr>
          <w:rFonts w:ascii="Times New Roman" w:hAnsi="Times New Roman" w:cs="Times New Roman"/>
          <w:color w:val="000000"/>
          <w:sz w:val="24"/>
          <w:szCs w:val="24"/>
        </w:rPr>
        <w:pict>
          <v:shape id="_x0000_i1118" type="#_x0000_t75" style="width:7.5pt;height:7.5pt">
            <v:imagedata r:id="rId20" o:title=""/>
          </v:shape>
        </w:pict>
      </w:r>
    </w:p>
    <w:p w:rsidR="00727678" w:rsidRDefault="00727678">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727678" w:rsidRDefault="00727678">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4858" w:rsidRPr="00727678" w:rsidRDefault="00004858" w:rsidP="00727678"/>
    <w:sectPr w:rsidR="00004858" w:rsidRPr="00727678" w:rsidSect="006505DD">
      <w:headerReference w:type="default" r:id="rId47"/>
      <w:footerReference w:type="default" r:id="rId48"/>
      <w:pgSz w:w="11906" w:h="16838"/>
      <w:pgMar w:top="567" w:right="567" w:bottom="567" w:left="1699"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495"/>
      <w:gridCol w:w="2663"/>
      <w:gridCol w:w="3482"/>
    </w:tblGrid>
    <w:tr w:rsidR="00D96E53" w:rsidTr="00D96E53">
      <w:tc>
        <w:tcPr>
          <w:tcW w:w="1813" w:type="pct"/>
        </w:tcPr>
        <w:p w:rsidR="00D96E53" w:rsidRPr="00D96E53" w:rsidRDefault="00727678"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21.11.2024</w:t>
          </w:r>
        </w:p>
      </w:tc>
      <w:tc>
        <w:tcPr>
          <w:tcW w:w="1381" w:type="pct"/>
        </w:tcPr>
        <w:p w:rsidR="00D96E53" w:rsidRPr="00D96E53" w:rsidRDefault="00727678"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727678"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p>
      </w:tc>
    </w:tr>
  </w:tbl>
  <w:p w:rsidR="009E3A2F" w:rsidRPr="009D179B" w:rsidRDefault="00727678"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743"/>
      <w:gridCol w:w="1656"/>
    </w:tblGrid>
    <w:tr w:rsidR="00B84B94" w:rsidTr="00B82B7A">
      <w:tc>
        <w:tcPr>
          <w:tcW w:w="7513" w:type="dxa"/>
        </w:tcPr>
        <w:p w:rsidR="00B84B94" w:rsidRPr="006E0D79" w:rsidRDefault="00727678"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18.09.2020 № 541 «О документах, запрашиваемых при осуществлении административных процедур»</w:t>
          </w:r>
        </w:p>
      </w:tc>
      <w:tc>
        <w:tcPr>
          <w:tcW w:w="1607" w:type="dxa"/>
        </w:tcPr>
        <w:p w:rsidR="00B84B94" w:rsidRDefault="00727678"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25.11.2024</w:t>
          </w:r>
        </w:p>
      </w:tc>
    </w:tr>
  </w:tbl>
  <w:p w:rsidR="00B84B94" w:rsidRPr="00B82B7A" w:rsidRDefault="00727678"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78"/>
    <w:rsid w:val="00004858"/>
    <w:rsid w:val="0005641D"/>
    <w:rsid w:val="00172E5F"/>
    <w:rsid w:val="002F13AB"/>
    <w:rsid w:val="00393099"/>
    <w:rsid w:val="003D69B4"/>
    <w:rsid w:val="005758E4"/>
    <w:rsid w:val="00727678"/>
    <w:rsid w:val="009C6380"/>
    <w:rsid w:val="00A85FC8"/>
    <w:rsid w:val="00C33218"/>
    <w:rsid w:val="00DB6660"/>
    <w:rsid w:val="00EE76B0"/>
    <w:rsid w:val="00F56B1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3CBD-225B-4A24-806A-BD7700D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C22400460" TargetMode="External"/><Relationship Id="rId18" Type="http://schemas.openxmlformats.org/officeDocument/2006/relationships/hyperlink" Target="NCPI#G#H10800433#&amp;Article=15&amp;Point=4" TargetMode="External"/><Relationship Id="rId26" Type="http://schemas.openxmlformats.org/officeDocument/2006/relationships/hyperlink" Target="NCPI#G#Hk1200428#&amp;Article=36&amp;Point=1&amp;UnderPoint=1.4" TargetMode="External"/><Relationship Id="rId39" Type="http://schemas.openxmlformats.org/officeDocument/2006/relationships/hyperlink" Target="NCPI#G#Pd1500003#&amp;Point=4" TargetMode="External"/><Relationship Id="rId21" Type="http://schemas.openxmlformats.org/officeDocument/2006/relationships/hyperlink" Target="NCPI#G#Hk1200428#&amp;Article=36&amp;Point=1&amp;UnderPoint=1.3" TargetMode="External"/><Relationship Id="rId34" Type="http://schemas.openxmlformats.org/officeDocument/2006/relationships/hyperlink" Target="NCPI#G#Pd1500003#&amp;Point=4" TargetMode="External"/><Relationship Id="rId42" Type="http://schemas.openxmlformats.org/officeDocument/2006/relationships/hyperlink" Target="NCPI#G#HK9900275#&amp;Chapter=19"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NCPI#G#C22200860" TargetMode="External"/><Relationship Id="rId2" Type="http://schemas.openxmlformats.org/officeDocument/2006/relationships/settings" Target="settings.xml"/><Relationship Id="rId16" Type="http://schemas.openxmlformats.org/officeDocument/2006/relationships/hyperlink" Target="NCPI#G#C22400786" TargetMode="External"/><Relationship Id="rId29" Type="http://schemas.openxmlformats.org/officeDocument/2006/relationships/hyperlink" Target="NCPI#G#P31200013#&amp;Point=10/1" TargetMode="External"/><Relationship Id="rId11" Type="http://schemas.openxmlformats.org/officeDocument/2006/relationships/hyperlink" Target="NCPI#G#C22300446" TargetMode="External"/><Relationship Id="rId24" Type="http://schemas.openxmlformats.org/officeDocument/2006/relationships/hyperlink" Target="NCPI#G#Hk1200428#&amp;Article=36&amp;Point=1&amp;UnderPoint=1.5" TargetMode="External"/><Relationship Id="rId32" Type="http://schemas.openxmlformats.org/officeDocument/2006/relationships/hyperlink" Target="NCPI#G#Pd1500003#&amp;Point=3" TargetMode="External"/><Relationship Id="rId37" Type="http://schemas.openxmlformats.org/officeDocument/2006/relationships/hyperlink" Target="NCPI#G#P31700240#&amp;Point=1&amp;UnderPoint=1.14" TargetMode="External"/><Relationship Id="rId40" Type="http://schemas.openxmlformats.org/officeDocument/2006/relationships/hyperlink" Target="NCPI#G#HK9900278#&amp;Article=55" TargetMode="External"/><Relationship Id="rId45" Type="http://schemas.openxmlformats.org/officeDocument/2006/relationships/hyperlink" Target="NCPI#G#H10800313#&amp;Article=27" TargetMode="External"/><Relationship Id="rId5" Type="http://schemas.openxmlformats.org/officeDocument/2006/relationships/hyperlink" Target="NCPI#G#C22100720" TargetMode="External"/><Relationship Id="rId15" Type="http://schemas.openxmlformats.org/officeDocument/2006/relationships/hyperlink" Target="NCPI#G#C22400717" TargetMode="External"/><Relationship Id="rId23" Type="http://schemas.openxmlformats.org/officeDocument/2006/relationships/hyperlink" Target="NCPI#G#Hk1200428#&amp;Article=36&amp;Point=1&amp;UnderPoint=1.4" TargetMode="External"/><Relationship Id="rId28" Type="http://schemas.openxmlformats.org/officeDocument/2006/relationships/hyperlink" Target="NCPI#G#P32300037#&amp;Point=1&amp;UnderPoint=1.4" TargetMode="External"/><Relationship Id="rId36" Type="http://schemas.openxmlformats.org/officeDocument/2006/relationships/hyperlink" Target="NCPI#G#C21700582#&#1047;&#1072;&#1075;_&#1059;&#1090;&#1074;_1&amp;Point=3" TargetMode="External"/><Relationship Id="rId49" Type="http://schemas.openxmlformats.org/officeDocument/2006/relationships/fontTable" Target="fontTable.xml"/><Relationship Id="rId10" Type="http://schemas.openxmlformats.org/officeDocument/2006/relationships/hyperlink" Target="NCPI#G#C22300327" TargetMode="External"/><Relationship Id="rId19" Type="http://schemas.openxmlformats.org/officeDocument/2006/relationships/hyperlink" Target="NCPI#L#&#1055;&#1088;&#1080;&#1083;" TargetMode="External"/><Relationship Id="rId31" Type="http://schemas.openxmlformats.org/officeDocument/2006/relationships/hyperlink" Target="NCPI#G#Pd1500003#&amp;Point=4" TargetMode="External"/><Relationship Id="rId44" Type="http://schemas.openxmlformats.org/officeDocument/2006/relationships/hyperlink" Target="NCPI#G#HK9900278#&amp;Article=55" TargetMode="External"/><Relationship Id="rId4" Type="http://schemas.openxmlformats.org/officeDocument/2006/relationships/hyperlink" Target="NCPI#G#C22100547" TargetMode="External"/><Relationship Id="rId9" Type="http://schemas.openxmlformats.org/officeDocument/2006/relationships/hyperlink" Target="NCPI#G#C22300155" TargetMode="External"/><Relationship Id="rId14" Type="http://schemas.openxmlformats.org/officeDocument/2006/relationships/hyperlink" Target="NCPI#G#C22400619" TargetMode="External"/><Relationship Id="rId22" Type="http://schemas.openxmlformats.org/officeDocument/2006/relationships/hyperlink" Target="NCPI#G#Hk1200428#&amp;Article=36&amp;Point=2" TargetMode="External"/><Relationship Id="rId27" Type="http://schemas.openxmlformats.org/officeDocument/2006/relationships/hyperlink" Target="NCPI#G#Hk1200428#&amp;Article=36&amp;Point=3" TargetMode="External"/><Relationship Id="rId30" Type="http://schemas.openxmlformats.org/officeDocument/2006/relationships/hyperlink" Target="NCPI#G#Pd1500003#&amp;Point=3" TargetMode="External"/><Relationship Id="rId35" Type="http://schemas.openxmlformats.org/officeDocument/2006/relationships/hyperlink" Target="NCPI#G#P31200013#&amp;Point=10/1" TargetMode="External"/><Relationship Id="rId43" Type="http://schemas.openxmlformats.org/officeDocument/2006/relationships/hyperlink" Target="NCPI#G#HK9900275#&amp;Chapter=24" TargetMode="External"/><Relationship Id="rId48" Type="http://schemas.openxmlformats.org/officeDocument/2006/relationships/footer" Target="footer1.xml"/><Relationship Id="rId8" Type="http://schemas.openxmlformats.org/officeDocument/2006/relationships/hyperlink" Target="NCPI#G#C22300124" TargetMode="External"/><Relationship Id="rId3" Type="http://schemas.openxmlformats.org/officeDocument/2006/relationships/webSettings" Target="webSettings.xml"/><Relationship Id="rId12" Type="http://schemas.openxmlformats.org/officeDocument/2006/relationships/hyperlink" Target="NCPI#G#C22400364" TargetMode="External"/><Relationship Id="rId17" Type="http://schemas.openxmlformats.org/officeDocument/2006/relationships/hyperlink" Target="NCPI#G#P31400566#&amp;Point=4&amp;UnderPoint=4.2" TargetMode="External"/><Relationship Id="rId25" Type="http://schemas.openxmlformats.org/officeDocument/2006/relationships/hyperlink" Target="NCPI#G#Hk1200428#&amp;Article=36&amp;Point=1&amp;UnderPoint=1.11" TargetMode="External"/><Relationship Id="rId33" Type="http://schemas.openxmlformats.org/officeDocument/2006/relationships/hyperlink" Target="NCPI#G#Pd1500003" TargetMode="External"/><Relationship Id="rId38" Type="http://schemas.openxmlformats.org/officeDocument/2006/relationships/hyperlink" Target="NCPI#G#Pd1500003#&amp;Point=3" TargetMode="External"/><Relationship Id="rId46" Type="http://schemas.openxmlformats.org/officeDocument/2006/relationships/hyperlink" Target="NCPI#G#P31000200#&#1047;&#1072;&#1075;_&#1059;&#1090;&#1074;_1" TargetMode="External"/><Relationship Id="rId20" Type="http://schemas.openxmlformats.org/officeDocument/2006/relationships/image" Target="media/image1.wmf"/><Relationship Id="rId41" Type="http://schemas.openxmlformats.org/officeDocument/2006/relationships/hyperlink" Target="NCPI#G#HK9900278#&amp;Article=55" TargetMode="External"/><Relationship Id="rId1" Type="http://schemas.openxmlformats.org/officeDocument/2006/relationships/styles" Target="styles.xml"/><Relationship Id="rId6" Type="http://schemas.openxmlformats.org/officeDocument/2006/relationships/hyperlink" Target="NCPI#G#C22200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14371</Words>
  <Characters>81917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2024-11-25T08:22:00Z</dcterms:created>
  <dcterms:modified xsi:type="dcterms:W3CDTF">2024-11-25T08:23:00Z</dcterms:modified>
</cp:coreProperties>
</file>